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9FF2B">
      <w:pPr>
        <w:spacing w:line="600" w:lineRule="exact"/>
        <w:jc w:val="center"/>
        <w:rPr>
          <w:rFonts w:ascii="宋体" w:hAnsi="宋体" w:cs="宋体"/>
          <w:b/>
          <w:sz w:val="72"/>
          <w:szCs w:val="72"/>
        </w:rPr>
      </w:pPr>
    </w:p>
    <w:p w14:paraId="1293F770">
      <w:pPr>
        <w:spacing w:line="360" w:lineRule="auto"/>
        <w:jc w:val="center"/>
        <w:rPr>
          <w:rFonts w:ascii="宋体" w:hAnsi="宋体" w:cs="宋体"/>
          <w:b/>
          <w:sz w:val="72"/>
          <w:szCs w:val="72"/>
        </w:rPr>
      </w:pPr>
    </w:p>
    <w:p w14:paraId="7B5C6CD1">
      <w:pPr>
        <w:spacing w:line="360" w:lineRule="auto"/>
        <w:jc w:val="center"/>
        <w:rPr>
          <w:rFonts w:ascii="宋体" w:hAnsi="宋体" w:cs="宋体"/>
          <w:b/>
          <w:sz w:val="72"/>
          <w:szCs w:val="72"/>
        </w:rPr>
      </w:pPr>
      <w:r>
        <w:rPr>
          <w:rFonts w:hint="eastAsia" w:ascii="宋体" w:hAnsi="宋体" w:cs="宋体"/>
          <w:b/>
          <w:sz w:val="72"/>
          <w:szCs w:val="72"/>
        </w:rPr>
        <w:t>竞争性磋商文件</w:t>
      </w:r>
    </w:p>
    <w:p w14:paraId="697C3F60">
      <w:pPr>
        <w:spacing w:line="600" w:lineRule="exact"/>
        <w:jc w:val="center"/>
        <w:rPr>
          <w:rFonts w:ascii="宋体" w:hAnsi="宋体" w:cs="宋体"/>
          <w:b/>
          <w:sz w:val="72"/>
          <w:szCs w:val="72"/>
        </w:rPr>
      </w:pPr>
    </w:p>
    <w:p w14:paraId="2C58BDE0">
      <w:pPr>
        <w:spacing w:line="400" w:lineRule="exact"/>
        <w:jc w:val="both"/>
        <w:rPr>
          <w:rFonts w:ascii="宋体" w:hAnsi="宋体" w:cs="宋体"/>
          <w:b/>
          <w:sz w:val="32"/>
          <w:szCs w:val="32"/>
        </w:rPr>
      </w:pPr>
    </w:p>
    <w:p w14:paraId="079F3714">
      <w:pPr>
        <w:pStyle w:val="6"/>
      </w:pPr>
    </w:p>
    <w:p w14:paraId="4799C976">
      <w:pPr>
        <w:pStyle w:val="34"/>
        <w:tabs>
          <w:tab w:val="clear" w:pos="4153"/>
          <w:tab w:val="clear" w:pos="8306"/>
        </w:tabs>
        <w:rPr>
          <w:rFonts w:ascii="宋体" w:hAnsi="宋体" w:cs="宋体"/>
        </w:rPr>
      </w:pPr>
    </w:p>
    <w:p w14:paraId="41E3C887">
      <w:pPr>
        <w:spacing w:line="400" w:lineRule="exact"/>
        <w:ind w:firstLine="851" w:firstLineChars="265"/>
        <w:rPr>
          <w:rFonts w:ascii="宋体" w:hAnsi="宋体" w:cs="宋体"/>
          <w:b/>
          <w:sz w:val="32"/>
          <w:szCs w:val="32"/>
        </w:rPr>
      </w:pPr>
    </w:p>
    <w:p w14:paraId="6C23ABB6">
      <w:pPr>
        <w:spacing w:line="400" w:lineRule="exact"/>
        <w:ind w:left="2249" w:hanging="2249" w:hangingChars="700"/>
        <w:jc w:val="left"/>
        <w:rPr>
          <w:rFonts w:ascii="宋体" w:hAnsi="宋体" w:cs="宋体"/>
          <w:b/>
          <w:sz w:val="32"/>
          <w:szCs w:val="32"/>
        </w:rPr>
      </w:pPr>
      <w:r>
        <w:rPr>
          <w:rFonts w:hint="eastAsia" w:ascii="宋体" w:hAnsi="宋体" w:cs="宋体"/>
          <w:b/>
          <w:sz w:val="32"/>
          <w:szCs w:val="32"/>
        </w:rPr>
        <w:t xml:space="preserve">    项目名称：</w:t>
      </w:r>
      <w:r>
        <w:rPr>
          <w:rFonts w:hint="eastAsia" w:ascii="宋体" w:hAnsi="宋体" w:cs="宋体"/>
          <w:b/>
          <w:spacing w:val="-6"/>
          <w:sz w:val="32"/>
          <w:szCs w:val="32"/>
        </w:rPr>
        <w:t>南宁师范大学武鸣五合校园共享单车服务采购项目</w:t>
      </w:r>
    </w:p>
    <w:p w14:paraId="23229F3F">
      <w:pPr>
        <w:spacing w:line="400" w:lineRule="exact"/>
        <w:jc w:val="center"/>
        <w:rPr>
          <w:rFonts w:ascii="宋体" w:hAnsi="宋体" w:cs="宋体"/>
          <w:b/>
          <w:sz w:val="32"/>
          <w:szCs w:val="32"/>
        </w:rPr>
      </w:pPr>
    </w:p>
    <w:p w14:paraId="246B71EC">
      <w:pPr>
        <w:spacing w:line="400" w:lineRule="exact"/>
        <w:ind w:firstLine="643" w:firstLineChars="200"/>
        <w:rPr>
          <w:rFonts w:ascii="宋体" w:hAnsi="宋体" w:cs="宋体"/>
          <w:b/>
          <w:sz w:val="32"/>
          <w:szCs w:val="32"/>
        </w:rPr>
      </w:pPr>
      <w:r>
        <w:rPr>
          <w:rFonts w:hint="eastAsia" w:ascii="宋体" w:hAnsi="宋体" w:cs="宋体"/>
          <w:b/>
          <w:sz w:val="32"/>
          <w:szCs w:val="32"/>
        </w:rPr>
        <w:t>项目编号：GXZH2025-C3-092</w:t>
      </w:r>
    </w:p>
    <w:p w14:paraId="56E0B9E2">
      <w:pPr>
        <w:spacing w:line="400" w:lineRule="exact"/>
        <w:ind w:firstLine="851" w:firstLineChars="265"/>
        <w:jc w:val="center"/>
        <w:rPr>
          <w:rFonts w:ascii="宋体" w:hAnsi="宋体" w:cs="宋体"/>
          <w:b/>
          <w:sz w:val="32"/>
          <w:szCs w:val="32"/>
        </w:rPr>
      </w:pPr>
    </w:p>
    <w:p w14:paraId="4E6C579C">
      <w:pPr>
        <w:spacing w:line="400" w:lineRule="exact"/>
        <w:ind w:left="1422" w:leftChars="406" w:hanging="569" w:hangingChars="177"/>
        <w:rPr>
          <w:rFonts w:ascii="宋体" w:hAnsi="宋体" w:cs="宋体"/>
          <w:b/>
          <w:sz w:val="32"/>
          <w:szCs w:val="32"/>
        </w:rPr>
      </w:pPr>
    </w:p>
    <w:p w14:paraId="03070CED">
      <w:pPr>
        <w:spacing w:line="400" w:lineRule="exact"/>
        <w:rPr>
          <w:rFonts w:ascii="宋体" w:hAnsi="宋体" w:cs="宋体"/>
          <w:b/>
          <w:sz w:val="32"/>
          <w:szCs w:val="32"/>
        </w:rPr>
      </w:pPr>
    </w:p>
    <w:p w14:paraId="0903764E">
      <w:pPr>
        <w:spacing w:line="400" w:lineRule="exact"/>
        <w:ind w:left="1422" w:leftChars="406" w:hanging="569" w:hangingChars="177"/>
        <w:rPr>
          <w:rFonts w:ascii="宋体" w:hAnsi="宋体" w:cs="宋体"/>
          <w:b/>
          <w:sz w:val="32"/>
          <w:szCs w:val="32"/>
        </w:rPr>
      </w:pPr>
    </w:p>
    <w:p w14:paraId="4CE8CE0E">
      <w:pPr>
        <w:pStyle w:val="34"/>
        <w:tabs>
          <w:tab w:val="clear" w:pos="4153"/>
          <w:tab w:val="clear" w:pos="8306"/>
        </w:tabs>
      </w:pPr>
    </w:p>
    <w:p w14:paraId="28D14374">
      <w:pPr>
        <w:spacing w:line="400" w:lineRule="exact"/>
        <w:rPr>
          <w:rFonts w:ascii="宋体" w:hAnsi="宋体" w:cs="宋体"/>
          <w:b/>
          <w:sz w:val="32"/>
          <w:szCs w:val="32"/>
        </w:rPr>
      </w:pPr>
    </w:p>
    <w:p w14:paraId="58701853">
      <w:pPr>
        <w:spacing w:line="400" w:lineRule="exact"/>
        <w:ind w:left="1422" w:leftChars="406" w:hanging="569" w:hangingChars="177"/>
        <w:rPr>
          <w:rFonts w:ascii="宋体" w:hAnsi="宋体" w:cs="宋体"/>
          <w:b/>
          <w:sz w:val="32"/>
          <w:szCs w:val="32"/>
        </w:rPr>
      </w:pPr>
    </w:p>
    <w:p w14:paraId="72AC834F">
      <w:pPr>
        <w:spacing w:line="400" w:lineRule="exact"/>
        <w:ind w:firstLine="643" w:firstLineChars="200"/>
        <w:rPr>
          <w:rFonts w:ascii="宋体" w:hAnsi="宋体" w:cs="宋体"/>
          <w:b/>
          <w:sz w:val="32"/>
          <w:szCs w:val="32"/>
        </w:rPr>
      </w:pPr>
      <w:r>
        <w:rPr>
          <w:rFonts w:hint="eastAsia" w:ascii="宋体" w:hAnsi="宋体" w:cs="宋体"/>
          <w:b/>
          <w:sz w:val="32"/>
          <w:szCs w:val="32"/>
        </w:rPr>
        <w:t>采购人：南宁师范大学</w:t>
      </w:r>
    </w:p>
    <w:p w14:paraId="77BAA944">
      <w:pPr>
        <w:spacing w:line="400" w:lineRule="exact"/>
        <w:rPr>
          <w:rFonts w:ascii="宋体" w:hAnsi="宋体" w:cs="宋体"/>
          <w:b/>
          <w:sz w:val="32"/>
          <w:szCs w:val="32"/>
        </w:rPr>
      </w:pPr>
    </w:p>
    <w:p w14:paraId="1C47E487">
      <w:pPr>
        <w:pStyle w:val="34"/>
        <w:tabs>
          <w:tab w:val="clear" w:pos="4153"/>
          <w:tab w:val="clear" w:pos="8306"/>
        </w:tabs>
        <w:jc w:val="center"/>
        <w:rPr>
          <w:rFonts w:ascii="宋体" w:hAnsi="宋体" w:cs="宋体"/>
        </w:rPr>
      </w:pPr>
    </w:p>
    <w:p w14:paraId="47A499B8">
      <w:pPr>
        <w:spacing w:line="400" w:lineRule="exact"/>
        <w:ind w:firstLine="643" w:firstLineChars="200"/>
        <w:rPr>
          <w:rFonts w:ascii="宋体" w:hAnsi="宋体" w:cs="宋体"/>
          <w:b/>
          <w:sz w:val="32"/>
          <w:szCs w:val="32"/>
        </w:rPr>
      </w:pPr>
      <w:r>
        <w:rPr>
          <w:rFonts w:hint="eastAsia" w:ascii="宋体" w:hAnsi="宋体" w:cs="宋体"/>
          <w:b/>
          <w:sz w:val="32"/>
          <w:szCs w:val="32"/>
        </w:rPr>
        <w:t>采购代理机构：广西正海招标有限公司</w:t>
      </w:r>
    </w:p>
    <w:p w14:paraId="57DCDD47">
      <w:pPr>
        <w:spacing w:line="400" w:lineRule="exact"/>
        <w:rPr>
          <w:rFonts w:ascii="宋体" w:hAnsi="宋体" w:cs="宋体"/>
          <w:b/>
          <w:sz w:val="32"/>
          <w:szCs w:val="32"/>
        </w:rPr>
      </w:pPr>
      <w:r>
        <w:rPr>
          <w:rFonts w:hint="eastAsia" w:ascii="宋体" w:hAnsi="宋体" w:cs="宋体"/>
          <w:b/>
          <w:sz w:val="32"/>
          <w:szCs w:val="32"/>
        </w:rPr>
        <w:t xml:space="preserve">                      </w:t>
      </w:r>
    </w:p>
    <w:p w14:paraId="5291DEC6">
      <w:pPr>
        <w:spacing w:line="400" w:lineRule="exact"/>
        <w:jc w:val="center"/>
        <w:rPr>
          <w:rFonts w:ascii="宋体" w:hAnsi="宋体" w:cs="宋体"/>
          <w:b/>
          <w:sz w:val="32"/>
          <w:szCs w:val="32"/>
        </w:rPr>
      </w:pPr>
    </w:p>
    <w:p w14:paraId="1CE0B5E1">
      <w:pPr>
        <w:spacing w:line="400" w:lineRule="exact"/>
        <w:jc w:val="center"/>
        <w:rPr>
          <w:rFonts w:ascii="宋体" w:hAnsi="宋体" w:cs="宋体"/>
          <w:b/>
          <w:sz w:val="32"/>
          <w:szCs w:val="32"/>
        </w:rPr>
      </w:pPr>
      <w:r>
        <w:rPr>
          <w:rFonts w:hint="eastAsia" w:ascii="宋体" w:hAnsi="宋体" w:cs="宋体"/>
          <w:b/>
          <w:sz w:val="32"/>
          <w:szCs w:val="32"/>
        </w:rPr>
        <w:t>2025年1</w:t>
      </w:r>
      <w:r>
        <w:rPr>
          <w:rFonts w:hint="eastAsia" w:ascii="宋体" w:hAnsi="宋体" w:cs="宋体"/>
          <w:b/>
          <w:sz w:val="32"/>
          <w:szCs w:val="32"/>
          <w:lang w:val="en-US" w:eastAsia="zh-CN"/>
        </w:rPr>
        <w:t>2</w:t>
      </w:r>
      <w:r>
        <w:rPr>
          <w:rFonts w:hint="eastAsia" w:ascii="宋体" w:hAnsi="宋体" w:cs="宋体"/>
          <w:b/>
          <w:sz w:val="32"/>
          <w:szCs w:val="32"/>
        </w:rPr>
        <w:t>月</w:t>
      </w:r>
    </w:p>
    <w:p w14:paraId="56BF31DE">
      <w:pPr>
        <w:spacing w:line="400" w:lineRule="exact"/>
        <w:jc w:val="center"/>
        <w:rPr>
          <w:rFonts w:ascii="宋体" w:hAnsi="宋体" w:cs="宋体"/>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246" w:left="1418" w:header="851" w:footer="992" w:gutter="0"/>
          <w:cols w:space="720" w:num="1"/>
          <w:titlePg/>
          <w:docGrid w:linePitch="312" w:charSpace="0"/>
        </w:sectPr>
      </w:pPr>
    </w:p>
    <w:p w14:paraId="26810B9B">
      <w:pPr>
        <w:pStyle w:val="34"/>
        <w:tabs>
          <w:tab w:val="clear" w:pos="4153"/>
          <w:tab w:val="clear" w:pos="8306"/>
        </w:tabs>
      </w:pPr>
    </w:p>
    <w:p w14:paraId="79DAB394">
      <w:pPr>
        <w:spacing w:line="560" w:lineRule="exact"/>
        <w:jc w:val="center"/>
        <w:rPr>
          <w:rFonts w:ascii="宋体" w:hAnsi="宋体" w:cs="宋体"/>
          <w:b/>
          <w:sz w:val="44"/>
          <w:szCs w:val="44"/>
        </w:rPr>
      </w:pPr>
      <w:r>
        <w:rPr>
          <w:rFonts w:hint="eastAsia" w:ascii="宋体" w:hAnsi="宋体" w:cs="宋体"/>
          <w:b/>
          <w:sz w:val="44"/>
          <w:szCs w:val="44"/>
        </w:rPr>
        <w:t>目   录</w:t>
      </w:r>
    </w:p>
    <w:p w14:paraId="77DBD41B">
      <w:pPr>
        <w:pStyle w:val="34"/>
        <w:tabs>
          <w:tab w:val="clear" w:pos="4153"/>
          <w:tab w:val="clear" w:pos="8306"/>
        </w:tabs>
        <w:rPr>
          <w:rFonts w:ascii="宋体" w:hAnsi="宋体" w:cs="宋体"/>
          <w:b/>
          <w:sz w:val="24"/>
          <w:szCs w:val="24"/>
        </w:rPr>
      </w:pPr>
    </w:p>
    <w:p w14:paraId="6BC4218B">
      <w:pPr>
        <w:pStyle w:val="36"/>
        <w:tabs>
          <w:tab w:val="right" w:leader="dot" w:pos="9072"/>
        </w:tabs>
        <w:spacing w:line="600" w:lineRule="exact"/>
        <w:rPr>
          <w:rFonts w:ascii="宋体" w:hAnsi="宋体" w:cs="宋体"/>
          <w:b/>
          <w:sz w:val="30"/>
          <w:szCs w:val="30"/>
        </w:rPr>
      </w:pPr>
    </w:p>
    <w:p w14:paraId="36F4B01F">
      <w:pPr>
        <w:pStyle w:val="36"/>
        <w:tabs>
          <w:tab w:val="right" w:leader="dot" w:pos="9072"/>
        </w:tabs>
        <w:spacing w:line="600" w:lineRule="exact"/>
        <w:rPr>
          <w:sz w:val="28"/>
          <w:szCs w:val="28"/>
        </w:rPr>
      </w:pPr>
      <w:r>
        <w:rPr>
          <w:rFonts w:hint="eastAsia" w:ascii="宋体" w:hAnsi="宋体" w:cs="宋体"/>
          <w:b/>
          <w:sz w:val="30"/>
          <w:szCs w:val="30"/>
        </w:rPr>
        <w:fldChar w:fldCharType="begin"/>
      </w:r>
      <w:r>
        <w:rPr>
          <w:rFonts w:hint="eastAsia" w:ascii="宋体" w:hAnsi="宋体" w:cs="宋体"/>
          <w:b/>
          <w:sz w:val="30"/>
          <w:szCs w:val="30"/>
        </w:rPr>
        <w:instrText xml:space="preserve">TOC \o "1-1" \h \u </w:instrText>
      </w:r>
      <w:r>
        <w:rPr>
          <w:rFonts w:hint="eastAsia" w:ascii="宋体" w:hAnsi="宋体" w:cs="宋体"/>
          <w:b/>
          <w:sz w:val="30"/>
          <w:szCs w:val="30"/>
        </w:rPr>
        <w:fldChar w:fldCharType="separate"/>
      </w:r>
      <w:r>
        <w:fldChar w:fldCharType="begin"/>
      </w:r>
      <w:r>
        <w:instrText xml:space="preserve"> HYPERLINK \l "_Toc9795" </w:instrText>
      </w:r>
      <w:r>
        <w:fldChar w:fldCharType="separate"/>
      </w:r>
      <w:r>
        <w:rPr>
          <w:rFonts w:hint="eastAsia" w:ascii="宋体" w:hAnsi="宋体" w:cs="宋体"/>
          <w:sz w:val="28"/>
          <w:szCs w:val="28"/>
        </w:rPr>
        <w:t>第一章  竞争性磋商公告</w:t>
      </w:r>
      <w:r>
        <w:rPr>
          <w:sz w:val="28"/>
          <w:szCs w:val="28"/>
        </w:rPr>
        <w:tab/>
      </w:r>
      <w:r>
        <w:rPr>
          <w:sz w:val="28"/>
          <w:szCs w:val="28"/>
        </w:rPr>
        <w:fldChar w:fldCharType="begin"/>
      </w:r>
      <w:r>
        <w:rPr>
          <w:sz w:val="28"/>
          <w:szCs w:val="28"/>
        </w:rPr>
        <w:instrText xml:space="preserve"> PAGEREF _Toc9795 </w:instrText>
      </w:r>
      <w:r>
        <w:rPr>
          <w:sz w:val="28"/>
          <w:szCs w:val="28"/>
        </w:rPr>
        <w:fldChar w:fldCharType="separate"/>
      </w:r>
      <w:r>
        <w:rPr>
          <w:sz w:val="28"/>
          <w:szCs w:val="28"/>
        </w:rPr>
        <w:t>1</w:t>
      </w:r>
      <w:r>
        <w:rPr>
          <w:sz w:val="28"/>
          <w:szCs w:val="28"/>
        </w:rPr>
        <w:fldChar w:fldCharType="end"/>
      </w:r>
      <w:r>
        <w:rPr>
          <w:sz w:val="28"/>
          <w:szCs w:val="28"/>
        </w:rPr>
        <w:fldChar w:fldCharType="end"/>
      </w:r>
    </w:p>
    <w:p w14:paraId="68E2D8F7">
      <w:pPr>
        <w:pStyle w:val="36"/>
        <w:tabs>
          <w:tab w:val="right" w:leader="dot" w:pos="9072"/>
        </w:tabs>
        <w:spacing w:line="600" w:lineRule="exact"/>
        <w:rPr>
          <w:sz w:val="28"/>
          <w:szCs w:val="28"/>
        </w:rPr>
      </w:pPr>
      <w:r>
        <w:fldChar w:fldCharType="begin"/>
      </w:r>
      <w:r>
        <w:instrText xml:space="preserve"> HYPERLINK \l "_Toc19400" </w:instrText>
      </w:r>
      <w:r>
        <w:fldChar w:fldCharType="separate"/>
      </w:r>
      <w:r>
        <w:rPr>
          <w:rFonts w:hint="eastAsia" w:ascii="宋体" w:hAnsi="宋体" w:cs="宋体"/>
          <w:sz w:val="28"/>
          <w:szCs w:val="28"/>
        </w:rPr>
        <w:t>第二章 磋</w:t>
      </w:r>
      <w:bookmarkStart w:id="0" w:name="_Hlt150931087"/>
      <w:r>
        <w:rPr>
          <w:rFonts w:hint="eastAsia" w:ascii="宋体" w:hAnsi="宋体" w:cs="宋体"/>
          <w:sz w:val="28"/>
          <w:szCs w:val="28"/>
        </w:rPr>
        <w:t>商</w:t>
      </w:r>
      <w:bookmarkEnd w:id="0"/>
      <w:bookmarkStart w:id="1" w:name="_Hlt131774887"/>
      <w:r>
        <w:rPr>
          <w:rFonts w:hint="eastAsia" w:ascii="宋体" w:hAnsi="宋体" w:cs="宋体"/>
          <w:sz w:val="28"/>
          <w:szCs w:val="28"/>
        </w:rPr>
        <w:t>须</w:t>
      </w:r>
      <w:bookmarkEnd w:id="1"/>
      <w:bookmarkStart w:id="2" w:name="_Hlt131774299"/>
      <w:bookmarkStart w:id="3" w:name="_Hlt131774298"/>
      <w:r>
        <w:rPr>
          <w:rFonts w:hint="eastAsia" w:ascii="宋体" w:hAnsi="宋体" w:cs="宋体"/>
          <w:sz w:val="28"/>
          <w:szCs w:val="28"/>
        </w:rPr>
        <w:t>知</w:t>
      </w:r>
      <w:bookmarkEnd w:id="2"/>
      <w:bookmarkEnd w:id="3"/>
      <w:r>
        <w:rPr>
          <w:sz w:val="28"/>
          <w:szCs w:val="28"/>
        </w:rPr>
        <w:tab/>
      </w:r>
      <w:r>
        <w:rPr>
          <w:sz w:val="28"/>
          <w:szCs w:val="28"/>
        </w:rPr>
        <w:fldChar w:fldCharType="begin"/>
      </w:r>
      <w:r>
        <w:rPr>
          <w:sz w:val="28"/>
          <w:szCs w:val="28"/>
        </w:rPr>
        <w:instrText xml:space="preserve"> PAGEREF _Toc19400 </w:instrText>
      </w:r>
      <w:r>
        <w:rPr>
          <w:sz w:val="28"/>
          <w:szCs w:val="28"/>
        </w:rPr>
        <w:fldChar w:fldCharType="separate"/>
      </w:r>
      <w:r>
        <w:rPr>
          <w:sz w:val="28"/>
          <w:szCs w:val="28"/>
        </w:rPr>
        <w:t>3</w:t>
      </w:r>
      <w:r>
        <w:rPr>
          <w:sz w:val="28"/>
          <w:szCs w:val="28"/>
        </w:rPr>
        <w:fldChar w:fldCharType="end"/>
      </w:r>
      <w:r>
        <w:rPr>
          <w:sz w:val="28"/>
          <w:szCs w:val="28"/>
        </w:rPr>
        <w:fldChar w:fldCharType="end"/>
      </w:r>
    </w:p>
    <w:p w14:paraId="2E026350">
      <w:pPr>
        <w:pStyle w:val="36"/>
        <w:tabs>
          <w:tab w:val="right" w:leader="dot" w:pos="9072"/>
        </w:tabs>
        <w:spacing w:line="600" w:lineRule="exact"/>
        <w:rPr>
          <w:sz w:val="28"/>
          <w:szCs w:val="28"/>
        </w:rPr>
      </w:pPr>
      <w:r>
        <w:fldChar w:fldCharType="begin"/>
      </w:r>
      <w:r>
        <w:instrText xml:space="preserve"> HYPERLINK \l "_Toc6955" </w:instrText>
      </w:r>
      <w:r>
        <w:fldChar w:fldCharType="separate"/>
      </w:r>
      <w:r>
        <w:rPr>
          <w:rFonts w:hint="eastAsia" w:ascii="宋体" w:hAnsi="宋体" w:cs="宋体"/>
          <w:sz w:val="28"/>
          <w:szCs w:val="28"/>
        </w:rPr>
        <w:t>第三章 项目需</w:t>
      </w:r>
      <w:bookmarkStart w:id="4" w:name="_Hlt150930384"/>
      <w:bookmarkStart w:id="5" w:name="_Hlt150930383"/>
      <w:r>
        <w:rPr>
          <w:rFonts w:hint="eastAsia" w:ascii="宋体" w:hAnsi="宋体" w:cs="宋体"/>
          <w:sz w:val="28"/>
          <w:szCs w:val="28"/>
        </w:rPr>
        <w:t>求</w:t>
      </w:r>
      <w:bookmarkEnd w:id="4"/>
      <w:bookmarkEnd w:id="5"/>
      <w:r>
        <w:rPr>
          <w:sz w:val="28"/>
          <w:szCs w:val="28"/>
        </w:rPr>
        <w:tab/>
      </w:r>
      <w:r>
        <w:rPr>
          <w:sz w:val="28"/>
          <w:szCs w:val="28"/>
        </w:rPr>
        <w:fldChar w:fldCharType="begin"/>
      </w:r>
      <w:r>
        <w:rPr>
          <w:sz w:val="28"/>
          <w:szCs w:val="28"/>
        </w:rPr>
        <w:instrText xml:space="preserve"> PAGEREF _Toc6955 </w:instrText>
      </w:r>
      <w:r>
        <w:rPr>
          <w:sz w:val="28"/>
          <w:szCs w:val="28"/>
        </w:rPr>
        <w:fldChar w:fldCharType="separate"/>
      </w:r>
      <w:r>
        <w:rPr>
          <w:sz w:val="28"/>
          <w:szCs w:val="28"/>
        </w:rPr>
        <w:t>18</w:t>
      </w:r>
      <w:r>
        <w:rPr>
          <w:sz w:val="28"/>
          <w:szCs w:val="28"/>
        </w:rPr>
        <w:fldChar w:fldCharType="end"/>
      </w:r>
      <w:r>
        <w:rPr>
          <w:sz w:val="28"/>
          <w:szCs w:val="28"/>
        </w:rPr>
        <w:fldChar w:fldCharType="end"/>
      </w:r>
    </w:p>
    <w:p w14:paraId="7D315E66">
      <w:pPr>
        <w:pStyle w:val="36"/>
        <w:tabs>
          <w:tab w:val="right" w:leader="dot" w:pos="9072"/>
        </w:tabs>
        <w:spacing w:line="600" w:lineRule="exact"/>
        <w:rPr>
          <w:sz w:val="28"/>
          <w:szCs w:val="28"/>
        </w:rPr>
      </w:pPr>
      <w:r>
        <w:fldChar w:fldCharType="begin"/>
      </w:r>
      <w:r>
        <w:instrText xml:space="preserve"> HYPERLINK \l "_Toc10913" </w:instrText>
      </w:r>
      <w:r>
        <w:fldChar w:fldCharType="separate"/>
      </w:r>
      <w:r>
        <w:rPr>
          <w:rFonts w:hint="eastAsia" w:ascii="宋体" w:hAnsi="宋体" w:cs="宋体"/>
          <w:sz w:val="28"/>
          <w:szCs w:val="28"/>
        </w:rPr>
        <w:t>第四章 评定成交</w:t>
      </w:r>
      <w:bookmarkStart w:id="6" w:name="_Hlt131774848"/>
      <w:r>
        <w:rPr>
          <w:rFonts w:hint="eastAsia" w:ascii="宋体" w:hAnsi="宋体" w:cs="宋体"/>
          <w:sz w:val="28"/>
          <w:szCs w:val="28"/>
        </w:rPr>
        <w:t>的</w:t>
      </w:r>
      <w:bookmarkEnd w:id="6"/>
      <w:r>
        <w:rPr>
          <w:rFonts w:hint="eastAsia" w:ascii="宋体" w:hAnsi="宋体" w:cs="宋体"/>
          <w:sz w:val="28"/>
          <w:szCs w:val="28"/>
        </w:rPr>
        <w:t>标准</w:t>
      </w:r>
      <w:r>
        <w:rPr>
          <w:sz w:val="28"/>
          <w:szCs w:val="28"/>
        </w:rPr>
        <w:tab/>
      </w:r>
      <w:r>
        <w:rPr>
          <w:sz w:val="28"/>
          <w:szCs w:val="28"/>
        </w:rPr>
        <w:fldChar w:fldCharType="begin"/>
      </w:r>
      <w:r>
        <w:rPr>
          <w:sz w:val="28"/>
          <w:szCs w:val="28"/>
        </w:rPr>
        <w:instrText xml:space="preserve"> PAGEREF _Toc10913 </w:instrText>
      </w:r>
      <w:r>
        <w:rPr>
          <w:sz w:val="28"/>
          <w:szCs w:val="28"/>
        </w:rPr>
        <w:fldChar w:fldCharType="separate"/>
      </w:r>
      <w:r>
        <w:rPr>
          <w:sz w:val="28"/>
          <w:szCs w:val="28"/>
        </w:rPr>
        <w:t>23</w:t>
      </w:r>
      <w:r>
        <w:rPr>
          <w:sz w:val="28"/>
          <w:szCs w:val="28"/>
        </w:rPr>
        <w:fldChar w:fldCharType="end"/>
      </w:r>
      <w:r>
        <w:rPr>
          <w:sz w:val="28"/>
          <w:szCs w:val="28"/>
        </w:rPr>
        <w:fldChar w:fldCharType="end"/>
      </w:r>
    </w:p>
    <w:p w14:paraId="2F357629">
      <w:pPr>
        <w:pStyle w:val="36"/>
        <w:tabs>
          <w:tab w:val="right" w:leader="dot" w:pos="9072"/>
        </w:tabs>
        <w:spacing w:line="600" w:lineRule="exact"/>
        <w:rPr>
          <w:sz w:val="28"/>
          <w:szCs w:val="28"/>
        </w:rPr>
      </w:pPr>
      <w:r>
        <w:fldChar w:fldCharType="begin"/>
      </w:r>
      <w:r>
        <w:instrText xml:space="preserve"> HYPERLINK \l "_Toc9412" </w:instrText>
      </w:r>
      <w:r>
        <w:fldChar w:fldCharType="separate"/>
      </w:r>
      <w:r>
        <w:rPr>
          <w:rFonts w:hint="eastAsia" w:ascii="宋体" w:hAnsi="宋体" w:cs="宋体"/>
          <w:sz w:val="28"/>
          <w:szCs w:val="28"/>
        </w:rPr>
        <w:t>第五章 响应文件格式</w:t>
      </w:r>
      <w:r>
        <w:rPr>
          <w:sz w:val="28"/>
          <w:szCs w:val="28"/>
        </w:rPr>
        <w:tab/>
      </w:r>
      <w:r>
        <w:rPr>
          <w:sz w:val="28"/>
          <w:szCs w:val="28"/>
        </w:rPr>
        <w:fldChar w:fldCharType="begin"/>
      </w:r>
      <w:r>
        <w:rPr>
          <w:sz w:val="28"/>
          <w:szCs w:val="28"/>
        </w:rPr>
        <w:instrText xml:space="preserve"> PAGEREF _Toc9412 </w:instrText>
      </w:r>
      <w:r>
        <w:rPr>
          <w:sz w:val="28"/>
          <w:szCs w:val="28"/>
        </w:rPr>
        <w:fldChar w:fldCharType="separate"/>
      </w:r>
      <w:r>
        <w:rPr>
          <w:sz w:val="28"/>
          <w:szCs w:val="28"/>
        </w:rPr>
        <w:t>33</w:t>
      </w:r>
      <w:r>
        <w:rPr>
          <w:sz w:val="28"/>
          <w:szCs w:val="28"/>
        </w:rPr>
        <w:fldChar w:fldCharType="end"/>
      </w:r>
      <w:r>
        <w:rPr>
          <w:sz w:val="28"/>
          <w:szCs w:val="28"/>
        </w:rPr>
        <w:fldChar w:fldCharType="end"/>
      </w:r>
    </w:p>
    <w:p w14:paraId="0781E0F0">
      <w:pPr>
        <w:pStyle w:val="36"/>
        <w:tabs>
          <w:tab w:val="right" w:leader="dot" w:pos="9072"/>
        </w:tabs>
        <w:spacing w:line="600" w:lineRule="exact"/>
      </w:pPr>
      <w:r>
        <w:fldChar w:fldCharType="begin"/>
      </w:r>
      <w:r>
        <w:instrText xml:space="preserve"> HYPERLINK \l "_Toc27080" </w:instrText>
      </w:r>
      <w:r>
        <w:fldChar w:fldCharType="separate"/>
      </w:r>
      <w:r>
        <w:rPr>
          <w:rFonts w:hint="eastAsia" w:ascii="宋体" w:hAnsi="宋体" w:cs="宋体"/>
          <w:sz w:val="28"/>
          <w:szCs w:val="28"/>
        </w:rPr>
        <w:t>第六章 合同主要条款</w:t>
      </w:r>
      <w:r>
        <w:rPr>
          <w:sz w:val="28"/>
          <w:szCs w:val="28"/>
        </w:rPr>
        <w:tab/>
      </w:r>
      <w:r>
        <w:rPr>
          <w:sz w:val="28"/>
          <w:szCs w:val="28"/>
        </w:rPr>
        <w:fldChar w:fldCharType="begin"/>
      </w:r>
      <w:r>
        <w:rPr>
          <w:sz w:val="28"/>
          <w:szCs w:val="28"/>
        </w:rPr>
        <w:instrText xml:space="preserve"> PAGEREF _Toc27080 </w:instrText>
      </w:r>
      <w:r>
        <w:rPr>
          <w:sz w:val="28"/>
          <w:szCs w:val="28"/>
        </w:rPr>
        <w:fldChar w:fldCharType="separate"/>
      </w:r>
      <w:r>
        <w:rPr>
          <w:sz w:val="28"/>
          <w:szCs w:val="28"/>
        </w:rPr>
        <w:t>48</w:t>
      </w:r>
      <w:r>
        <w:rPr>
          <w:sz w:val="28"/>
          <w:szCs w:val="28"/>
        </w:rPr>
        <w:fldChar w:fldCharType="end"/>
      </w:r>
      <w:r>
        <w:rPr>
          <w:sz w:val="28"/>
          <w:szCs w:val="28"/>
        </w:rPr>
        <w:fldChar w:fldCharType="end"/>
      </w:r>
    </w:p>
    <w:p w14:paraId="79611CE5">
      <w:pPr>
        <w:spacing w:line="480" w:lineRule="auto"/>
        <w:jc w:val="left"/>
        <w:rPr>
          <w:rFonts w:ascii="宋体" w:hAnsi="宋体" w:cs="宋体"/>
          <w:b/>
          <w:sz w:val="30"/>
          <w:szCs w:val="30"/>
        </w:rPr>
      </w:pPr>
      <w:r>
        <w:rPr>
          <w:rFonts w:hint="eastAsia" w:ascii="宋体" w:hAnsi="宋体" w:cs="宋体"/>
          <w:szCs w:val="30"/>
        </w:rPr>
        <w:fldChar w:fldCharType="end"/>
      </w:r>
    </w:p>
    <w:p w14:paraId="20AC55DE">
      <w:pPr>
        <w:spacing w:line="400" w:lineRule="exact"/>
        <w:jc w:val="center"/>
        <w:rPr>
          <w:rFonts w:ascii="宋体" w:hAnsi="宋体" w:cs="宋体"/>
          <w:b/>
          <w:sz w:val="32"/>
          <w:szCs w:val="32"/>
        </w:rPr>
      </w:pPr>
      <w:bookmarkStart w:id="46" w:name="_GoBack"/>
      <w:bookmarkEnd w:id="46"/>
    </w:p>
    <w:p w14:paraId="5FC96F54">
      <w:pPr>
        <w:spacing w:line="400" w:lineRule="exact"/>
        <w:jc w:val="center"/>
        <w:rPr>
          <w:rFonts w:ascii="宋体" w:hAnsi="宋体" w:cs="宋体"/>
          <w:b/>
          <w:sz w:val="32"/>
          <w:szCs w:val="32"/>
        </w:rPr>
      </w:pPr>
    </w:p>
    <w:p w14:paraId="7E4C0C45">
      <w:pPr>
        <w:spacing w:line="400" w:lineRule="exact"/>
        <w:jc w:val="center"/>
        <w:rPr>
          <w:rFonts w:ascii="宋体" w:hAnsi="宋体" w:cs="宋体"/>
          <w:b/>
          <w:sz w:val="32"/>
          <w:szCs w:val="32"/>
        </w:rPr>
      </w:pPr>
    </w:p>
    <w:p w14:paraId="3DB73AB7">
      <w:pPr>
        <w:spacing w:line="400" w:lineRule="exact"/>
        <w:jc w:val="center"/>
        <w:rPr>
          <w:rFonts w:ascii="宋体" w:hAnsi="宋体" w:cs="宋体"/>
          <w:b/>
          <w:sz w:val="32"/>
          <w:szCs w:val="32"/>
        </w:rPr>
      </w:pPr>
    </w:p>
    <w:p w14:paraId="0FC6F1CA">
      <w:pPr>
        <w:spacing w:line="400" w:lineRule="exact"/>
        <w:jc w:val="center"/>
        <w:rPr>
          <w:rFonts w:ascii="宋体" w:hAnsi="宋体" w:cs="宋体"/>
          <w:b/>
          <w:sz w:val="32"/>
          <w:szCs w:val="32"/>
        </w:rPr>
      </w:pPr>
    </w:p>
    <w:p w14:paraId="13B7DBBD">
      <w:pPr>
        <w:spacing w:line="400" w:lineRule="exact"/>
        <w:jc w:val="center"/>
        <w:outlineLvl w:val="0"/>
        <w:rPr>
          <w:rFonts w:ascii="宋体" w:hAnsi="宋体" w:cs="宋体"/>
          <w:sz w:val="32"/>
          <w:szCs w:val="32"/>
        </w:rPr>
        <w:sectPr>
          <w:headerReference r:id="rId9" w:type="default"/>
          <w:footerReference r:id="rId10" w:type="default"/>
          <w:pgSz w:w="11906" w:h="16838"/>
          <w:pgMar w:top="1247" w:right="1417" w:bottom="1246" w:left="1417" w:header="851" w:footer="992" w:gutter="0"/>
          <w:pgNumType w:start="1"/>
          <w:cols w:space="720" w:num="1"/>
          <w:docGrid w:linePitch="312" w:charSpace="0"/>
        </w:sectPr>
      </w:pPr>
      <w:bookmarkStart w:id="7" w:name="_Toc27470"/>
      <w:bookmarkStart w:id="8" w:name="_Toc28966"/>
    </w:p>
    <w:p w14:paraId="4E618104">
      <w:pPr>
        <w:spacing w:line="400" w:lineRule="exact"/>
        <w:jc w:val="center"/>
        <w:outlineLvl w:val="0"/>
        <w:rPr>
          <w:rFonts w:ascii="宋体" w:hAnsi="宋体" w:cs="宋体"/>
          <w:sz w:val="32"/>
          <w:szCs w:val="32"/>
        </w:rPr>
      </w:pPr>
      <w:bookmarkStart w:id="9" w:name="_Toc9795"/>
      <w:r>
        <w:rPr>
          <w:rStyle w:val="187"/>
          <w:rFonts w:hint="eastAsia" w:ascii="宋体" w:hAnsi="宋体" w:cs="宋体"/>
          <w:sz w:val="32"/>
          <w:szCs w:val="32"/>
        </w:rPr>
        <w:t>第一章  竞争性磋商公告</w:t>
      </w:r>
      <w:bookmarkEnd w:id="7"/>
      <w:bookmarkEnd w:id="8"/>
      <w:bookmarkEnd w:id="9"/>
    </w:p>
    <w:p w14:paraId="0190C9EA">
      <w:pPr>
        <w:spacing w:line="360" w:lineRule="exact"/>
        <w:jc w:val="center"/>
        <w:rPr>
          <w:rFonts w:ascii="宋体" w:hAnsi="宋体" w:cs="宋体"/>
          <w:b/>
          <w:sz w:val="24"/>
        </w:rPr>
      </w:pPr>
      <w:bookmarkStart w:id="10" w:name="_Hlk71363026"/>
    </w:p>
    <w:p w14:paraId="76EF4A63">
      <w:pPr>
        <w:spacing w:line="360" w:lineRule="exact"/>
        <w:jc w:val="center"/>
        <w:rPr>
          <w:rFonts w:ascii="宋体" w:hAnsi="宋体" w:cs="宋体"/>
          <w:b/>
          <w:sz w:val="24"/>
        </w:rPr>
      </w:pPr>
      <w:r>
        <w:rPr>
          <w:rFonts w:hint="eastAsia" w:ascii="宋体" w:hAnsi="宋体" w:cs="宋体"/>
          <w:b/>
          <w:sz w:val="24"/>
        </w:rPr>
        <w:t>广西正海招标有限公司关于南宁师范大学武鸣五合校园共享单车服务采购项目（项目编号：GXZH2025-C3-092）竞争性磋商公告</w:t>
      </w:r>
    </w:p>
    <w:p w14:paraId="261ADF15">
      <w:pPr>
        <w:pBdr>
          <w:top w:val="single" w:color="000000" w:sz="4" w:space="1"/>
          <w:left w:val="single" w:color="000000" w:sz="4" w:space="4"/>
          <w:bottom w:val="single" w:color="000000" w:sz="4" w:space="0"/>
          <w:right w:val="single" w:color="000000" w:sz="4" w:space="4"/>
        </w:pBdr>
        <w:spacing w:line="360" w:lineRule="exact"/>
        <w:rPr>
          <w:rFonts w:ascii="宋体" w:hAnsi="宋体" w:cs="宋体"/>
          <w:b/>
          <w:bCs/>
          <w:szCs w:val="21"/>
        </w:rPr>
      </w:pPr>
      <w:r>
        <w:rPr>
          <w:rFonts w:hint="eastAsia" w:ascii="宋体" w:hAnsi="宋体" w:cs="宋体"/>
          <w:b/>
          <w:bCs/>
          <w:szCs w:val="21"/>
        </w:rPr>
        <w:t>项目概况：</w:t>
      </w:r>
    </w:p>
    <w:p w14:paraId="5C6AC396">
      <w:pPr>
        <w:pBdr>
          <w:top w:val="single" w:color="000000" w:sz="4" w:space="1"/>
          <w:left w:val="single" w:color="000000" w:sz="4" w:space="4"/>
          <w:bottom w:val="single" w:color="000000" w:sz="4" w:space="0"/>
          <w:right w:val="single" w:color="000000" w:sz="4" w:space="4"/>
        </w:pBdr>
        <w:spacing w:line="360" w:lineRule="exact"/>
        <w:ind w:firstLine="422" w:firstLineChars="200"/>
        <w:rPr>
          <w:rFonts w:ascii="宋体" w:hAnsi="宋体" w:cs="宋体"/>
          <w:szCs w:val="21"/>
        </w:rPr>
      </w:pPr>
      <w:r>
        <w:rPr>
          <w:rFonts w:hint="eastAsia" w:ascii="宋体" w:hAnsi="宋体" w:cs="宋体"/>
          <w:b/>
          <w:bCs/>
          <w:szCs w:val="21"/>
          <w:u w:val="single"/>
        </w:rPr>
        <w:t>南宁师范大学武鸣五合校园共享单车服务采购项目</w:t>
      </w:r>
      <w:r>
        <w:rPr>
          <w:rFonts w:hint="eastAsia" w:ascii="宋体" w:hAnsi="宋体" w:cs="宋体"/>
          <w:szCs w:val="21"/>
        </w:rPr>
        <w:t>的潜在供应商应在</w:t>
      </w:r>
      <w:r>
        <w:rPr>
          <w:rFonts w:hint="eastAsia" w:ascii="宋体" w:hAnsi="宋体" w:cs="宋体"/>
          <w:szCs w:val="21"/>
          <w:u w:val="single"/>
        </w:rPr>
        <w:t>广西正海招标有限公司前台（南宁市青秀区茅桥路2号习艺基地A栋1号电梯3楼）</w:t>
      </w:r>
      <w:r>
        <w:rPr>
          <w:rFonts w:hint="eastAsia" w:ascii="宋体" w:hAnsi="宋体" w:cs="宋体"/>
          <w:szCs w:val="21"/>
        </w:rPr>
        <w:t>获取采购文件，并于</w:t>
      </w:r>
      <w:r>
        <w:rPr>
          <w:rFonts w:hint="eastAsia" w:ascii="宋体" w:hAnsi="宋体" w:cs="宋体"/>
          <w:szCs w:val="21"/>
          <w:u w:val="single"/>
        </w:rPr>
        <w:t>2025年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22</w:t>
      </w:r>
      <w:r>
        <w:rPr>
          <w:rFonts w:hint="eastAsia" w:ascii="宋体" w:hAnsi="宋体" w:cs="宋体"/>
          <w:szCs w:val="21"/>
          <w:u w:val="single"/>
        </w:rPr>
        <w:t>日09时30分</w:t>
      </w:r>
      <w:r>
        <w:rPr>
          <w:rFonts w:hint="eastAsia" w:ascii="宋体" w:hAnsi="宋体" w:cs="宋体"/>
          <w:bCs/>
          <w:szCs w:val="21"/>
        </w:rPr>
        <w:t>（北京时间）前提交响应文件</w:t>
      </w:r>
      <w:r>
        <w:rPr>
          <w:rFonts w:hint="eastAsia" w:ascii="宋体" w:hAnsi="宋体" w:cs="宋体"/>
          <w:szCs w:val="21"/>
        </w:rPr>
        <w:t>。</w:t>
      </w:r>
    </w:p>
    <w:p w14:paraId="174F7FD2">
      <w:pPr>
        <w:spacing w:line="360" w:lineRule="exact"/>
        <w:rPr>
          <w:rFonts w:ascii="宋体" w:hAnsi="宋体" w:cs="仿宋"/>
          <w:b/>
          <w:bCs/>
          <w:szCs w:val="21"/>
        </w:rPr>
      </w:pPr>
      <w:bookmarkStart w:id="11" w:name="_Toc35393629"/>
      <w:bookmarkStart w:id="12" w:name="_Toc28359089"/>
      <w:bookmarkStart w:id="13" w:name="_Toc28359012"/>
      <w:bookmarkStart w:id="14" w:name="_Toc35393798"/>
      <w:r>
        <w:rPr>
          <w:rFonts w:hint="eastAsia" w:ascii="宋体" w:hAnsi="宋体" w:cs="仿宋"/>
          <w:b/>
          <w:bCs/>
          <w:szCs w:val="21"/>
        </w:rPr>
        <w:t xml:space="preserve"> 一、项目基本情况</w:t>
      </w:r>
      <w:bookmarkEnd w:id="11"/>
      <w:bookmarkEnd w:id="12"/>
      <w:bookmarkEnd w:id="13"/>
      <w:bookmarkEnd w:id="14"/>
    </w:p>
    <w:p w14:paraId="1510694E">
      <w:pPr>
        <w:spacing w:line="360" w:lineRule="exact"/>
        <w:ind w:firstLine="420" w:firstLineChars="200"/>
        <w:rPr>
          <w:rFonts w:ascii="宋体" w:hAnsi="宋体" w:cs="仿宋"/>
          <w:szCs w:val="21"/>
        </w:rPr>
      </w:pPr>
      <w:r>
        <w:rPr>
          <w:rFonts w:hint="eastAsia" w:ascii="宋体" w:hAnsi="宋体" w:cs="仿宋"/>
          <w:szCs w:val="21"/>
        </w:rPr>
        <w:t>项目编号：GXZH2025-C3-092</w:t>
      </w:r>
    </w:p>
    <w:p w14:paraId="30FB5528">
      <w:pPr>
        <w:spacing w:line="360" w:lineRule="exact"/>
        <w:ind w:firstLine="420" w:firstLineChars="200"/>
        <w:rPr>
          <w:rFonts w:ascii="宋体" w:hAnsi="宋体" w:cs="仿宋"/>
          <w:szCs w:val="21"/>
        </w:rPr>
      </w:pPr>
      <w:r>
        <w:rPr>
          <w:rFonts w:hint="eastAsia" w:ascii="宋体" w:hAnsi="宋体" w:cs="仿宋"/>
          <w:szCs w:val="21"/>
        </w:rPr>
        <w:t>项目名称：南宁师范大学武鸣五合校园共享单车服务采购项目</w:t>
      </w:r>
    </w:p>
    <w:p w14:paraId="54F261C1">
      <w:pPr>
        <w:spacing w:line="360" w:lineRule="exact"/>
        <w:ind w:firstLine="420" w:firstLineChars="200"/>
        <w:rPr>
          <w:rFonts w:ascii="宋体" w:hAnsi="宋体" w:cs="仿宋"/>
          <w:szCs w:val="21"/>
        </w:rPr>
      </w:pPr>
      <w:r>
        <w:rPr>
          <w:rFonts w:hint="eastAsia" w:ascii="宋体" w:hAnsi="宋体" w:cs="仿宋"/>
          <w:szCs w:val="21"/>
        </w:rPr>
        <w:t>采购方式：竞争性磋商</w:t>
      </w:r>
    </w:p>
    <w:p w14:paraId="2814F53B">
      <w:pPr>
        <w:spacing w:line="360" w:lineRule="exact"/>
        <w:ind w:firstLine="420" w:firstLineChars="200"/>
        <w:rPr>
          <w:rFonts w:ascii="宋体" w:hAnsi="宋体" w:cs="仿宋"/>
          <w:szCs w:val="21"/>
        </w:rPr>
      </w:pPr>
      <w:r>
        <w:rPr>
          <w:rFonts w:hint="eastAsia" w:ascii="宋体" w:hAnsi="宋体" w:cs="仿宋"/>
          <w:szCs w:val="21"/>
        </w:rPr>
        <w:t>预算金额（人民币）：</w:t>
      </w:r>
      <w:r>
        <w:rPr>
          <w:rFonts w:hint="eastAsia" w:ascii="宋体" w:hAnsi="宋体" w:cs="宋体"/>
          <w:szCs w:val="21"/>
        </w:rPr>
        <w:t>2000000.00元（根据两年骑费测算）</w:t>
      </w:r>
    </w:p>
    <w:p w14:paraId="2FFFEF3C">
      <w:pPr>
        <w:spacing w:line="360" w:lineRule="exact"/>
        <w:ind w:firstLine="420" w:firstLineChars="200"/>
        <w:rPr>
          <w:rFonts w:ascii="宋体" w:hAnsi="宋体" w:cs="仿宋"/>
          <w:szCs w:val="21"/>
        </w:rPr>
      </w:pPr>
      <w:r>
        <w:rPr>
          <w:rFonts w:hint="eastAsia" w:ascii="宋体" w:hAnsi="宋体" w:cs="仿宋"/>
          <w:szCs w:val="21"/>
        </w:rPr>
        <w:t>最高限价（人民币）：同采购预算。</w:t>
      </w:r>
    </w:p>
    <w:p w14:paraId="3EABED85">
      <w:pPr>
        <w:spacing w:line="360" w:lineRule="exact"/>
        <w:ind w:firstLine="420" w:firstLineChars="200"/>
        <w:rPr>
          <w:rFonts w:ascii="宋体" w:hAnsi="宋体" w:cs="仿宋"/>
          <w:szCs w:val="21"/>
        </w:rPr>
      </w:pPr>
      <w:r>
        <w:rPr>
          <w:rFonts w:hint="eastAsia" w:ascii="宋体" w:hAnsi="宋体" w:cs="仿宋"/>
          <w:szCs w:val="21"/>
        </w:rPr>
        <w:t>采购需求：南宁师范大学武鸣五合校园共享单车服务采购项目</w:t>
      </w:r>
      <w:r>
        <w:rPr>
          <w:rFonts w:hint="eastAsia" w:ascii="宋体" w:hAnsi="宋体"/>
          <w:szCs w:val="21"/>
        </w:rPr>
        <w:t>1项，</w:t>
      </w:r>
      <w:r>
        <w:rPr>
          <w:rFonts w:hint="eastAsia" w:ascii="宋体" w:hAnsi="宋体" w:cs="仿宋"/>
          <w:szCs w:val="21"/>
        </w:rPr>
        <w:t>具体详见采购文件第三章项目采购需求。</w:t>
      </w:r>
    </w:p>
    <w:p w14:paraId="299641ED">
      <w:pPr>
        <w:pStyle w:val="20"/>
        <w:spacing w:line="360" w:lineRule="exact"/>
        <w:ind w:firstLine="420" w:firstLineChars="200"/>
        <w:rPr>
          <w:rFonts w:ascii="宋体" w:hAnsi="宋体" w:cs="仿宋"/>
          <w:szCs w:val="21"/>
        </w:rPr>
      </w:pPr>
      <w:r>
        <w:rPr>
          <w:rFonts w:hint="eastAsia" w:ascii="宋体" w:hAnsi="宋体" w:cs="仿宋"/>
          <w:szCs w:val="21"/>
        </w:rPr>
        <w:t>合同履行期限：2026年1月1日至 2027年12月31日。</w:t>
      </w:r>
    </w:p>
    <w:p w14:paraId="7693C32B">
      <w:pPr>
        <w:spacing w:line="360" w:lineRule="exact"/>
        <w:rPr>
          <w:rFonts w:ascii="宋体" w:hAnsi="宋体" w:cs="仿宋"/>
          <w:b/>
          <w:bCs/>
          <w:szCs w:val="21"/>
        </w:rPr>
      </w:pPr>
      <w:r>
        <w:rPr>
          <w:rFonts w:hint="eastAsia" w:ascii="宋体" w:hAnsi="宋体" w:cs="仿宋"/>
          <w:b/>
          <w:bCs/>
          <w:szCs w:val="21"/>
        </w:rPr>
        <w:t>二、供应商的资格要求：</w:t>
      </w:r>
    </w:p>
    <w:p w14:paraId="0100FC30">
      <w:pPr>
        <w:spacing w:line="360" w:lineRule="exact"/>
        <w:ind w:firstLine="420" w:firstLineChars="200"/>
        <w:rPr>
          <w:rFonts w:ascii="宋体" w:hAnsi="宋体" w:cs="仿宋"/>
          <w:szCs w:val="21"/>
        </w:rPr>
      </w:pPr>
      <w:r>
        <w:rPr>
          <w:rFonts w:hint="eastAsia" w:ascii="宋体" w:hAnsi="宋体" w:cs="仿宋"/>
          <w:szCs w:val="21"/>
        </w:rPr>
        <w:t>1.满足《中华人民共和国政府采购法》第二十二条规定；</w:t>
      </w:r>
    </w:p>
    <w:p w14:paraId="3A7BA8C6">
      <w:pPr>
        <w:spacing w:line="360" w:lineRule="exact"/>
        <w:ind w:firstLine="420" w:firstLineChars="200"/>
        <w:rPr>
          <w:rFonts w:ascii="宋体" w:hAnsi="宋体" w:cs="仿宋"/>
          <w:szCs w:val="21"/>
        </w:rPr>
      </w:pPr>
      <w:r>
        <w:rPr>
          <w:rFonts w:hint="eastAsia" w:ascii="宋体" w:hAnsi="宋体" w:cs="仿宋"/>
          <w:szCs w:val="21"/>
        </w:rPr>
        <w:t>2.</w:t>
      </w:r>
      <w:r>
        <w:rPr>
          <w:rFonts w:hint="eastAsia" w:ascii="宋体" w:hAnsi="宋体"/>
          <w:szCs w:val="21"/>
        </w:rPr>
        <w:t>落实政府采购政策需满足的资格要求：无。</w:t>
      </w:r>
    </w:p>
    <w:p w14:paraId="4ADF906B">
      <w:pPr>
        <w:spacing w:line="360" w:lineRule="exact"/>
        <w:ind w:firstLine="420" w:firstLineChars="200"/>
        <w:rPr>
          <w:rFonts w:ascii="宋体" w:hAnsi="宋体" w:cs="仿宋"/>
          <w:szCs w:val="21"/>
        </w:rPr>
      </w:pPr>
      <w:r>
        <w:rPr>
          <w:rFonts w:hint="eastAsia" w:ascii="宋体" w:hAnsi="宋体" w:cs="仿宋"/>
          <w:szCs w:val="21"/>
        </w:rPr>
        <w:t>3.本项目的特定资格要求：供应商须具有运营共享单车的资质。</w:t>
      </w:r>
    </w:p>
    <w:p w14:paraId="4B3A769D">
      <w:pPr>
        <w:spacing w:line="360" w:lineRule="exact"/>
        <w:rPr>
          <w:rFonts w:ascii="宋体" w:hAnsi="宋体" w:cs="仿宋"/>
          <w:b/>
          <w:szCs w:val="21"/>
        </w:rPr>
      </w:pPr>
      <w:r>
        <w:rPr>
          <w:rFonts w:hint="eastAsia" w:ascii="宋体" w:hAnsi="宋体" w:cs="仿宋"/>
          <w:b/>
          <w:szCs w:val="21"/>
        </w:rPr>
        <w:t>三、获取采购文件：</w:t>
      </w:r>
    </w:p>
    <w:p w14:paraId="540D26D1">
      <w:pPr>
        <w:tabs>
          <w:tab w:val="left" w:pos="1080"/>
        </w:tabs>
        <w:spacing w:line="360" w:lineRule="exact"/>
        <w:ind w:firstLine="422" w:firstLineChars="200"/>
        <w:rPr>
          <w:rFonts w:ascii="宋体" w:hAnsi="宋体"/>
          <w:szCs w:val="21"/>
        </w:rPr>
      </w:pPr>
      <w:r>
        <w:rPr>
          <w:rFonts w:hint="eastAsia" w:ascii="宋体" w:hAnsi="宋体"/>
          <w:b/>
          <w:bCs/>
          <w:szCs w:val="21"/>
        </w:rPr>
        <w:t>1.时间：</w:t>
      </w:r>
      <w:r>
        <w:rPr>
          <w:rFonts w:hint="eastAsia" w:ascii="宋体" w:hAnsi="宋体"/>
          <w:szCs w:val="21"/>
        </w:rPr>
        <w:t>2025年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日至2025年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日，每天上午8时至12时，下午15时至18时（北京时间，</w:t>
      </w:r>
      <w:r>
        <w:rPr>
          <w:rFonts w:ascii="宋体" w:hAnsi="宋体"/>
          <w:szCs w:val="21"/>
        </w:rPr>
        <w:t>法定节假日</w:t>
      </w:r>
      <w:r>
        <w:rPr>
          <w:rFonts w:hint="eastAsia" w:ascii="宋体" w:hAnsi="宋体"/>
          <w:szCs w:val="21"/>
        </w:rPr>
        <w:t>除外）</w:t>
      </w:r>
    </w:p>
    <w:p w14:paraId="715699F7">
      <w:pPr>
        <w:tabs>
          <w:tab w:val="left" w:pos="1080"/>
        </w:tabs>
        <w:spacing w:line="360" w:lineRule="exact"/>
        <w:ind w:firstLine="422" w:firstLineChars="200"/>
        <w:rPr>
          <w:rFonts w:ascii="宋体" w:hAnsi="宋体"/>
          <w:szCs w:val="21"/>
        </w:rPr>
      </w:pPr>
      <w:r>
        <w:rPr>
          <w:rFonts w:hint="eastAsia" w:ascii="宋体" w:hAnsi="宋体"/>
          <w:b/>
          <w:bCs/>
          <w:szCs w:val="21"/>
        </w:rPr>
        <w:t>2.地点：</w:t>
      </w:r>
      <w:r>
        <w:rPr>
          <w:rFonts w:hint="eastAsia" w:ascii="宋体" w:hAnsi="宋体"/>
          <w:szCs w:val="21"/>
        </w:rPr>
        <w:t>广西正海招标有限公司前台（南宁市青秀区茅桥路2号习艺基地A栋1号电梯3楼）；</w:t>
      </w:r>
    </w:p>
    <w:p w14:paraId="20B73F74">
      <w:pPr>
        <w:tabs>
          <w:tab w:val="left" w:pos="1080"/>
        </w:tabs>
        <w:spacing w:line="360" w:lineRule="exact"/>
        <w:ind w:firstLine="422" w:firstLineChars="200"/>
        <w:rPr>
          <w:rFonts w:ascii="宋体" w:hAnsi="宋体"/>
          <w:szCs w:val="21"/>
        </w:rPr>
      </w:pPr>
      <w:r>
        <w:rPr>
          <w:rFonts w:hint="eastAsia" w:ascii="宋体" w:hAnsi="宋体"/>
          <w:b/>
          <w:bCs/>
          <w:szCs w:val="21"/>
        </w:rPr>
        <w:t>3.售价：</w:t>
      </w:r>
      <w:r>
        <w:rPr>
          <w:rFonts w:hint="eastAsia" w:ascii="宋体" w:hAnsi="宋体" w:cs="宋体"/>
          <w:szCs w:val="21"/>
        </w:rPr>
        <w:t>人民币300元，售后不退</w:t>
      </w:r>
      <w:r>
        <w:rPr>
          <w:rFonts w:hint="eastAsia" w:ascii="宋体" w:hAnsi="宋体"/>
          <w:szCs w:val="21"/>
        </w:rPr>
        <w:t>。</w:t>
      </w:r>
    </w:p>
    <w:p w14:paraId="06FD12A1">
      <w:pPr>
        <w:tabs>
          <w:tab w:val="left" w:pos="1080"/>
        </w:tabs>
        <w:spacing w:line="360" w:lineRule="exact"/>
        <w:ind w:firstLine="422" w:firstLineChars="200"/>
        <w:rPr>
          <w:rFonts w:ascii="宋体" w:hAnsi="宋体"/>
          <w:b/>
          <w:bCs/>
          <w:szCs w:val="21"/>
        </w:rPr>
      </w:pPr>
      <w:r>
        <w:rPr>
          <w:rFonts w:hint="eastAsia" w:ascii="宋体" w:hAnsi="宋体"/>
          <w:b/>
          <w:bCs/>
          <w:szCs w:val="21"/>
        </w:rPr>
        <w:t>4.方式：</w:t>
      </w:r>
    </w:p>
    <w:p w14:paraId="2DCB7ADC">
      <w:pPr>
        <w:pStyle w:val="279"/>
        <w:spacing w:after="0" w:line="360" w:lineRule="exact"/>
        <w:ind w:left="0" w:leftChars="0"/>
        <w:jc w:val="left"/>
        <w:rPr>
          <w:rFonts w:ascii="宋体" w:hAnsi="宋体" w:cs="宋体"/>
          <w:szCs w:val="21"/>
        </w:rPr>
      </w:pPr>
      <w:r>
        <w:rPr>
          <w:rFonts w:hint="eastAsia" w:ascii="宋体" w:hAnsi="宋体" w:cs="宋体"/>
          <w:szCs w:val="21"/>
        </w:rPr>
        <w:t>（1）现场购买：潜在供应商自行到广西正海招标有限公司前台（南宁市青秀区茅桥路2号习艺基地A栋1号电梯3楼）购买，付款方式只接受现金付款和银行转账，不接受微信付款、支付宝付款和银行卡刷卡。</w:t>
      </w:r>
    </w:p>
    <w:p w14:paraId="7A8F62DF">
      <w:pPr>
        <w:tabs>
          <w:tab w:val="left" w:pos="1080"/>
        </w:tabs>
        <w:spacing w:line="360" w:lineRule="exact"/>
        <w:ind w:firstLine="420" w:firstLineChars="200"/>
        <w:rPr>
          <w:rFonts w:ascii="宋体" w:hAnsi="宋体"/>
          <w:szCs w:val="21"/>
        </w:rPr>
      </w:pPr>
      <w:r>
        <w:rPr>
          <w:rFonts w:hint="eastAsia" w:ascii="宋体" w:hAnsi="宋体" w:cs="宋体"/>
          <w:szCs w:val="21"/>
        </w:rPr>
        <w:t>（2）邮寄购买：潜在供应商邮购采购文件的，另附邮费50元，在</w:t>
      </w:r>
      <w:r>
        <w:rPr>
          <w:rFonts w:hint="eastAsia" w:ascii="宋体" w:hAnsi="宋体" w:cs="宋体"/>
          <w:bCs/>
          <w:szCs w:val="21"/>
        </w:rPr>
        <w:t>获取采购文件</w:t>
      </w:r>
      <w:r>
        <w:rPr>
          <w:rFonts w:hint="eastAsia" w:ascii="宋体" w:hAnsi="宋体" w:cs="宋体"/>
          <w:szCs w:val="21"/>
        </w:rPr>
        <w:t>截止时间前将标书款和邮费共350元对公转账到代理机构账户，邮寄时还需将拟购买的项目名称、项目编号、供应商联系人、联系电话、传真、电子邮箱、邮寄采购文件的详细地址及开票信息发至569511450@qq.com邮箱】。如未能提供联系方式和准确的邮寄地址造成采购文件无法邮寄或无法联系的，后果由供应商自负。</w:t>
      </w:r>
      <w:r>
        <w:rPr>
          <w:rFonts w:hint="eastAsia" w:ascii="宋体" w:hAnsi="宋体" w:cs="宋体"/>
          <w:b/>
          <w:bCs/>
          <w:szCs w:val="21"/>
        </w:rPr>
        <w:t>【开户名称：广西正海招标有限公司开户银行：中国光大银行股份有限公司南宁长湖支行 银行账号：7908 0188 0000 35937】</w:t>
      </w:r>
      <w:r>
        <w:rPr>
          <w:rFonts w:hint="eastAsia" w:ascii="宋体" w:hAnsi="宋体" w:cs="宋体"/>
          <w:szCs w:val="21"/>
        </w:rPr>
        <w:t>。</w:t>
      </w:r>
    </w:p>
    <w:p w14:paraId="14E64067">
      <w:pPr>
        <w:spacing w:line="360" w:lineRule="exact"/>
        <w:rPr>
          <w:rFonts w:ascii="宋体" w:hAnsi="宋体" w:cs="仿宋"/>
          <w:b/>
          <w:szCs w:val="21"/>
        </w:rPr>
      </w:pPr>
      <w:r>
        <w:rPr>
          <w:rFonts w:hint="eastAsia" w:ascii="宋体" w:hAnsi="宋体" w:cs="仿宋"/>
          <w:b/>
          <w:szCs w:val="21"/>
        </w:rPr>
        <w:t>四、响应文件提交：</w:t>
      </w:r>
    </w:p>
    <w:p w14:paraId="7B32E37A">
      <w:pPr>
        <w:spacing w:line="360" w:lineRule="exact"/>
        <w:ind w:firstLine="420" w:firstLineChars="200"/>
        <w:rPr>
          <w:rFonts w:ascii="宋体" w:hAnsi="宋体" w:cs="仿宋"/>
          <w:bCs/>
          <w:szCs w:val="21"/>
        </w:rPr>
      </w:pPr>
      <w:r>
        <w:rPr>
          <w:rFonts w:hint="eastAsia" w:ascii="宋体" w:hAnsi="宋体" w:cs="仿宋"/>
          <w:szCs w:val="21"/>
        </w:rPr>
        <w:t xml:space="preserve"> </w:t>
      </w:r>
      <w:r>
        <w:rPr>
          <w:rFonts w:hint="eastAsia" w:ascii="宋体" w:hAnsi="宋体" w:cs="仿宋"/>
          <w:b/>
          <w:bCs/>
          <w:szCs w:val="21"/>
        </w:rPr>
        <w:t>1.截止时间：</w:t>
      </w:r>
      <w:r>
        <w:rPr>
          <w:rFonts w:hint="eastAsia" w:ascii="宋体" w:hAnsi="宋体" w:cs="仿宋"/>
          <w:szCs w:val="21"/>
          <w:u w:val="single"/>
        </w:rPr>
        <w:t>2025年</w:t>
      </w:r>
      <w:r>
        <w:rPr>
          <w:rFonts w:hint="eastAsia" w:ascii="宋体" w:hAnsi="宋体" w:cs="仿宋"/>
          <w:szCs w:val="21"/>
          <w:u w:val="single"/>
          <w:lang w:val="en-US" w:eastAsia="zh-CN"/>
        </w:rPr>
        <w:t>12</w:t>
      </w:r>
      <w:r>
        <w:rPr>
          <w:rFonts w:hint="eastAsia" w:ascii="宋体" w:hAnsi="宋体" w:cs="仿宋"/>
          <w:szCs w:val="21"/>
          <w:u w:val="single"/>
        </w:rPr>
        <w:t>月</w:t>
      </w:r>
      <w:r>
        <w:rPr>
          <w:rFonts w:hint="eastAsia" w:ascii="宋体" w:hAnsi="宋体" w:cs="仿宋"/>
          <w:szCs w:val="21"/>
          <w:u w:val="single"/>
          <w:lang w:val="en-US" w:eastAsia="zh-CN"/>
        </w:rPr>
        <w:t>22</w:t>
      </w:r>
      <w:r>
        <w:rPr>
          <w:rFonts w:hint="eastAsia" w:ascii="宋体" w:hAnsi="宋体" w:cs="仿宋"/>
          <w:szCs w:val="21"/>
          <w:u w:val="single"/>
        </w:rPr>
        <w:t>日09 时30分</w:t>
      </w:r>
      <w:r>
        <w:rPr>
          <w:rFonts w:hint="eastAsia" w:ascii="宋体" w:hAnsi="宋体" w:cs="仿宋"/>
          <w:bCs/>
          <w:szCs w:val="21"/>
        </w:rPr>
        <w:t>（北京时间）</w:t>
      </w:r>
    </w:p>
    <w:p w14:paraId="686B4AE5">
      <w:pPr>
        <w:spacing w:line="360" w:lineRule="exact"/>
        <w:ind w:firstLine="420" w:firstLineChars="200"/>
        <w:rPr>
          <w:rFonts w:ascii="宋体" w:hAnsi="宋体" w:cs="仿宋"/>
          <w:szCs w:val="21"/>
        </w:rPr>
      </w:pPr>
      <w:r>
        <w:rPr>
          <w:rFonts w:hint="eastAsia" w:ascii="宋体" w:hAnsi="宋体" w:cs="仿宋"/>
          <w:szCs w:val="21"/>
        </w:rPr>
        <w:t xml:space="preserve"> </w:t>
      </w:r>
      <w:r>
        <w:rPr>
          <w:rFonts w:hint="eastAsia" w:ascii="宋体" w:hAnsi="宋体" w:cs="仿宋"/>
          <w:b/>
          <w:bCs/>
          <w:szCs w:val="21"/>
        </w:rPr>
        <w:t>2.地点：</w:t>
      </w:r>
      <w:r>
        <w:rPr>
          <w:rFonts w:hint="eastAsia" w:ascii="宋体" w:hAnsi="宋体" w:cs="仿宋"/>
          <w:szCs w:val="21"/>
        </w:rPr>
        <w:t>广西正海招标有限公司开标厅（南宁市青秀区茅桥路2号习艺基地A栋1号电梯3楼）。参加磋商的供应商的法定代表人或委托代理人必须持有效证件依时到达指定地点等候当面磋商。有效证件要求如下：</w:t>
      </w:r>
    </w:p>
    <w:p w14:paraId="2F4FA8DA">
      <w:pPr>
        <w:spacing w:line="360" w:lineRule="exact"/>
        <w:ind w:firstLine="420" w:firstLineChars="200"/>
        <w:rPr>
          <w:rFonts w:ascii="宋体" w:hAnsi="宋体" w:cs="仿宋"/>
          <w:szCs w:val="21"/>
        </w:rPr>
      </w:pPr>
      <w:r>
        <w:rPr>
          <w:rFonts w:hint="eastAsia" w:ascii="宋体" w:hAnsi="宋体" w:cs="仿宋"/>
          <w:szCs w:val="21"/>
        </w:rPr>
        <w:t>（1）法定代表人前来的</w:t>
      </w:r>
      <w:r>
        <w:rPr>
          <w:rFonts w:ascii="宋体" w:hAnsi="宋体" w:cs="仿宋"/>
          <w:szCs w:val="21"/>
        </w:rPr>
        <w:t>，须出示其有效身份证原件</w:t>
      </w:r>
      <w:r>
        <w:rPr>
          <w:rFonts w:hint="eastAsia" w:ascii="宋体" w:hAnsi="宋体" w:cs="仿宋"/>
          <w:szCs w:val="21"/>
        </w:rPr>
        <w:t>及复印件</w:t>
      </w:r>
      <w:r>
        <w:rPr>
          <w:rFonts w:ascii="宋体" w:hAnsi="宋体" w:cs="仿宋"/>
          <w:szCs w:val="21"/>
        </w:rPr>
        <w:t>、</w:t>
      </w:r>
      <w:r>
        <w:rPr>
          <w:rFonts w:hint="eastAsia" w:ascii="宋体" w:hAnsi="宋体" w:cs="仿宋"/>
          <w:szCs w:val="21"/>
        </w:rPr>
        <w:t>营业执照或事业单位法人证书复印件、</w:t>
      </w:r>
      <w:r>
        <w:rPr>
          <w:rFonts w:ascii="宋体" w:hAnsi="宋体" w:cs="仿宋"/>
          <w:szCs w:val="21"/>
        </w:rPr>
        <w:t>（加盖</w:t>
      </w:r>
      <w:r>
        <w:rPr>
          <w:rFonts w:hint="eastAsia" w:ascii="宋体" w:hAnsi="宋体" w:cs="仿宋"/>
          <w:szCs w:val="21"/>
        </w:rPr>
        <w:t>磋商单位</w:t>
      </w:r>
      <w:r>
        <w:rPr>
          <w:rFonts w:ascii="宋体" w:hAnsi="宋体" w:cs="仿宋"/>
          <w:szCs w:val="21"/>
        </w:rPr>
        <w:t>公章）；</w:t>
      </w:r>
    </w:p>
    <w:p w14:paraId="22840738">
      <w:pPr>
        <w:spacing w:line="360" w:lineRule="exact"/>
        <w:ind w:firstLine="420" w:firstLineChars="200"/>
        <w:rPr>
          <w:rFonts w:ascii="宋体" w:hAnsi="宋体" w:cs="仿宋"/>
          <w:szCs w:val="21"/>
        </w:rPr>
      </w:pPr>
      <w:r>
        <w:rPr>
          <w:rFonts w:hint="eastAsia" w:ascii="宋体" w:hAnsi="宋体" w:cs="仿宋"/>
          <w:szCs w:val="21"/>
        </w:rPr>
        <w:t>（2）</w:t>
      </w:r>
      <w:r>
        <w:rPr>
          <w:rFonts w:ascii="宋体" w:hAnsi="宋体" w:cs="仿宋"/>
          <w:szCs w:val="21"/>
        </w:rPr>
        <w:t>被授权代表为非法定代表人</w:t>
      </w:r>
      <w:r>
        <w:rPr>
          <w:rFonts w:hint="eastAsia" w:ascii="宋体" w:hAnsi="宋体" w:cs="仿宋"/>
          <w:szCs w:val="21"/>
        </w:rPr>
        <w:t>前来的</w:t>
      </w:r>
      <w:r>
        <w:rPr>
          <w:rFonts w:ascii="宋体" w:hAnsi="宋体" w:cs="仿宋"/>
          <w:szCs w:val="21"/>
        </w:rPr>
        <w:t>，须出示其有效身份证原件</w:t>
      </w:r>
      <w:r>
        <w:rPr>
          <w:rFonts w:hint="eastAsia" w:ascii="宋体" w:hAnsi="宋体" w:cs="仿宋"/>
          <w:szCs w:val="21"/>
        </w:rPr>
        <w:t>及复印件</w:t>
      </w:r>
      <w:r>
        <w:rPr>
          <w:rFonts w:ascii="宋体" w:hAnsi="宋体" w:cs="仿宋"/>
          <w:szCs w:val="21"/>
        </w:rPr>
        <w:t>、法定代表人授权委托书原件、</w:t>
      </w:r>
      <w:r>
        <w:rPr>
          <w:rFonts w:hint="eastAsia" w:ascii="宋体" w:hAnsi="宋体" w:cs="仿宋"/>
          <w:szCs w:val="21"/>
        </w:rPr>
        <w:t>营业执照或事业单位法人证书复印件</w:t>
      </w:r>
      <w:r>
        <w:rPr>
          <w:rFonts w:ascii="宋体" w:hAnsi="宋体" w:cs="仿宋"/>
          <w:szCs w:val="21"/>
        </w:rPr>
        <w:t>（加盖</w:t>
      </w:r>
      <w:r>
        <w:rPr>
          <w:rFonts w:hint="eastAsia" w:ascii="宋体" w:hAnsi="宋体" w:cs="仿宋"/>
          <w:szCs w:val="21"/>
        </w:rPr>
        <w:t>磋商单位</w:t>
      </w:r>
      <w:r>
        <w:rPr>
          <w:rFonts w:ascii="宋体" w:hAnsi="宋体" w:cs="仿宋"/>
          <w:szCs w:val="21"/>
        </w:rPr>
        <w:t>公章）。</w:t>
      </w:r>
    </w:p>
    <w:p w14:paraId="43630CB6">
      <w:pPr>
        <w:spacing w:line="360" w:lineRule="exact"/>
        <w:rPr>
          <w:rFonts w:ascii="宋体" w:hAnsi="宋体" w:cs="仿宋"/>
          <w:b/>
          <w:szCs w:val="21"/>
        </w:rPr>
      </w:pPr>
      <w:r>
        <w:rPr>
          <w:rFonts w:hint="eastAsia" w:ascii="宋体" w:hAnsi="宋体" w:cs="仿宋"/>
          <w:b/>
          <w:szCs w:val="21"/>
        </w:rPr>
        <w:t>五、开启：</w:t>
      </w:r>
    </w:p>
    <w:p w14:paraId="0E092317">
      <w:pPr>
        <w:spacing w:line="360" w:lineRule="exact"/>
        <w:ind w:firstLine="422" w:firstLineChars="200"/>
        <w:rPr>
          <w:rFonts w:ascii="宋体" w:hAnsi="宋体" w:cs="仿宋"/>
          <w:bCs/>
          <w:szCs w:val="21"/>
        </w:rPr>
      </w:pPr>
      <w:r>
        <w:rPr>
          <w:rFonts w:hint="eastAsia" w:ascii="宋体" w:hAnsi="宋体" w:cs="仿宋"/>
          <w:b/>
          <w:bCs/>
          <w:szCs w:val="21"/>
        </w:rPr>
        <w:t>1.时间：</w:t>
      </w:r>
      <w:r>
        <w:rPr>
          <w:rFonts w:hint="eastAsia" w:ascii="宋体" w:hAnsi="宋体" w:cs="仿宋"/>
          <w:szCs w:val="21"/>
          <w:u w:val="single"/>
        </w:rPr>
        <w:t>2025年</w:t>
      </w:r>
      <w:r>
        <w:rPr>
          <w:rFonts w:hint="eastAsia" w:ascii="宋体" w:hAnsi="宋体" w:cs="仿宋"/>
          <w:szCs w:val="21"/>
          <w:u w:val="single"/>
          <w:lang w:val="en-US" w:eastAsia="zh-CN"/>
        </w:rPr>
        <w:t>12</w:t>
      </w:r>
      <w:r>
        <w:rPr>
          <w:rFonts w:hint="eastAsia" w:ascii="宋体" w:hAnsi="宋体" w:cs="仿宋"/>
          <w:szCs w:val="21"/>
          <w:u w:val="single"/>
        </w:rPr>
        <w:t>月</w:t>
      </w:r>
      <w:r>
        <w:rPr>
          <w:rFonts w:hint="eastAsia" w:ascii="宋体" w:hAnsi="宋体" w:cs="仿宋"/>
          <w:szCs w:val="21"/>
          <w:u w:val="single"/>
          <w:lang w:val="en-US" w:eastAsia="zh-CN"/>
        </w:rPr>
        <w:t>22</w:t>
      </w:r>
      <w:r>
        <w:rPr>
          <w:rFonts w:hint="eastAsia" w:ascii="宋体" w:hAnsi="宋体" w:cs="仿宋"/>
          <w:szCs w:val="21"/>
          <w:u w:val="single"/>
        </w:rPr>
        <w:t>日09时 30分</w:t>
      </w:r>
      <w:r>
        <w:rPr>
          <w:rFonts w:hint="eastAsia" w:ascii="宋体" w:hAnsi="宋体" w:cs="仿宋"/>
          <w:szCs w:val="21"/>
        </w:rPr>
        <w:t>后</w:t>
      </w:r>
      <w:r>
        <w:rPr>
          <w:rFonts w:hint="eastAsia" w:ascii="宋体" w:hAnsi="宋体" w:cs="仿宋"/>
          <w:bCs/>
          <w:szCs w:val="21"/>
        </w:rPr>
        <w:t>（北京时间）（具体时间以评委到达评标现场并开始评标为准）。</w:t>
      </w:r>
    </w:p>
    <w:p w14:paraId="45A3313C">
      <w:pPr>
        <w:spacing w:line="360" w:lineRule="exact"/>
        <w:ind w:firstLine="422" w:firstLineChars="200"/>
        <w:rPr>
          <w:rFonts w:ascii="宋体" w:hAnsi="宋体" w:cs="仿宋"/>
          <w:szCs w:val="21"/>
        </w:rPr>
      </w:pPr>
      <w:r>
        <w:rPr>
          <w:rFonts w:hint="eastAsia" w:ascii="宋体" w:hAnsi="宋体" w:cs="仿宋"/>
          <w:b/>
          <w:bCs/>
          <w:szCs w:val="21"/>
        </w:rPr>
        <w:t>2.地点：</w:t>
      </w:r>
      <w:r>
        <w:rPr>
          <w:rFonts w:hint="eastAsia" w:ascii="宋体" w:hAnsi="宋体" w:cs="仿宋"/>
          <w:szCs w:val="21"/>
        </w:rPr>
        <w:t>广西正海招标有限公司（南宁市青秀区茅桥路2号习艺基地A栋1号电梯3楼）。</w:t>
      </w:r>
    </w:p>
    <w:p w14:paraId="4C71E252">
      <w:pPr>
        <w:spacing w:line="360" w:lineRule="exact"/>
        <w:rPr>
          <w:rFonts w:ascii="宋体" w:hAnsi="宋体" w:cs="仿宋"/>
          <w:b/>
          <w:szCs w:val="21"/>
        </w:rPr>
      </w:pPr>
      <w:r>
        <w:rPr>
          <w:rFonts w:hint="eastAsia" w:ascii="宋体" w:hAnsi="宋体" w:cs="仿宋"/>
          <w:b/>
          <w:szCs w:val="21"/>
        </w:rPr>
        <w:t>六、公告期限：</w:t>
      </w:r>
    </w:p>
    <w:p w14:paraId="064C1798">
      <w:pPr>
        <w:spacing w:line="360" w:lineRule="exact"/>
        <w:ind w:firstLine="420" w:firstLineChars="200"/>
        <w:rPr>
          <w:rFonts w:ascii="宋体" w:hAnsi="宋体" w:cs="仿宋"/>
          <w:szCs w:val="21"/>
        </w:rPr>
      </w:pPr>
      <w:r>
        <w:rPr>
          <w:rFonts w:hint="eastAsia" w:ascii="宋体" w:hAnsi="宋体" w:cs="仿宋"/>
          <w:szCs w:val="21"/>
        </w:rPr>
        <w:t>自本公告发布之日起5个工作日。</w:t>
      </w:r>
    </w:p>
    <w:p w14:paraId="678F8CFF">
      <w:pPr>
        <w:spacing w:line="360" w:lineRule="exact"/>
        <w:rPr>
          <w:rFonts w:ascii="宋体" w:hAnsi="宋体" w:cs="仿宋"/>
          <w:b/>
          <w:szCs w:val="21"/>
        </w:rPr>
      </w:pPr>
      <w:bookmarkStart w:id="15" w:name="_Toc35393635"/>
      <w:bookmarkStart w:id="16" w:name="_Toc35393804"/>
      <w:r>
        <w:rPr>
          <w:rFonts w:hint="eastAsia" w:ascii="宋体" w:hAnsi="宋体" w:cs="仿宋"/>
          <w:b/>
          <w:szCs w:val="21"/>
        </w:rPr>
        <w:t>七、其他补充事宜</w:t>
      </w:r>
      <w:bookmarkEnd w:id="15"/>
      <w:bookmarkEnd w:id="16"/>
      <w:r>
        <w:rPr>
          <w:rFonts w:hint="eastAsia" w:ascii="宋体" w:hAnsi="宋体" w:cs="仿宋"/>
          <w:b/>
          <w:szCs w:val="21"/>
        </w:rPr>
        <w:t>：</w:t>
      </w:r>
    </w:p>
    <w:p w14:paraId="4DDA5E2A">
      <w:pPr>
        <w:spacing w:line="360" w:lineRule="exact"/>
        <w:ind w:firstLine="420" w:firstLineChars="200"/>
        <w:rPr>
          <w:rFonts w:ascii="宋体" w:hAnsi="宋体" w:cs="宋体"/>
          <w:kern w:val="0"/>
          <w:szCs w:val="21"/>
        </w:rPr>
      </w:pPr>
      <w:r>
        <w:rPr>
          <w:rFonts w:hint="eastAsia" w:ascii="宋体" w:hAnsi="宋体" w:cs="仿宋"/>
          <w:bCs/>
          <w:szCs w:val="21"/>
        </w:rPr>
        <w:t>1.磋商保证金（</w:t>
      </w:r>
      <w:r>
        <w:rPr>
          <w:rFonts w:hint="eastAsia" w:ascii="宋体" w:hAnsi="宋体" w:cs="宋体"/>
          <w:kern w:val="0"/>
          <w:szCs w:val="21"/>
        </w:rPr>
        <w:t>人民币）：贰万元整（￥20000.00元）（注：供应商须一次性足额交纳，未按照要求提交磋商保证金的，其响应文件按无效响应处理）。供应商必须于磋商截止时间前将磋商保证金以电汇、转帐、网上银行支付、保函等非现金形式交到广西正海招标有限公司指定账户</w:t>
      </w:r>
      <w:r>
        <w:rPr>
          <w:rFonts w:hint="eastAsia" w:ascii="宋体" w:hAnsi="宋体" w:cs="宋体"/>
          <w:b/>
          <w:bCs/>
          <w:kern w:val="0"/>
          <w:szCs w:val="21"/>
        </w:rPr>
        <w:t>【开户名称：广西正海招标有限公司，开户银行：广西北部湾银行南宁市兴宁支行，银行账号：800105504300012】</w:t>
      </w:r>
      <w:r>
        <w:rPr>
          <w:rFonts w:hint="eastAsia" w:ascii="宋体" w:hAnsi="宋体" w:cs="宋体"/>
          <w:kern w:val="0"/>
          <w:szCs w:val="21"/>
        </w:rPr>
        <w:t>，否则视为无效磋商保证金。本项目不接受现金形式或从个人账户转出的磋商保证金。办理缴纳磋商保证金手续时，请务必在银行转账单或电汇单的用途栏或空白栏上注明项目名称（简称即可）或项目编号+保证金字样。</w:t>
      </w:r>
    </w:p>
    <w:p w14:paraId="50E016B3">
      <w:pPr>
        <w:spacing w:line="360" w:lineRule="exact"/>
        <w:ind w:firstLine="420" w:firstLineChars="200"/>
        <w:rPr>
          <w:rFonts w:ascii="宋体" w:hAnsi="宋体" w:cs="宋体"/>
          <w:kern w:val="0"/>
          <w:szCs w:val="21"/>
        </w:rPr>
      </w:pPr>
      <w:r>
        <w:rPr>
          <w:rFonts w:hint="eastAsia" w:ascii="宋体" w:hAnsi="宋体" w:cs="宋体"/>
          <w:kern w:val="0"/>
          <w:szCs w:val="21"/>
        </w:rPr>
        <w:t>2</w:t>
      </w:r>
      <w:r>
        <w:rPr>
          <w:rFonts w:ascii="宋体" w:hAnsi="宋体" w:cs="宋体"/>
          <w:kern w:val="0"/>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0C94012">
      <w:pPr>
        <w:spacing w:line="360" w:lineRule="exact"/>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对在“信用中国”网站(www.creditchina.gov.cn)、中国政府采购网(www.ccgp.gov.cn)等渠道列入失信被执行人、重大税收违法案件当事人名单、政府采购不良行为记录、政府采购严重违法失信行为记录名单及其他不符合《中华人民共和国政府采购法》第二十二条规定条件的供应商，不得参与政府采购活动。</w:t>
      </w:r>
    </w:p>
    <w:p w14:paraId="70077194">
      <w:pPr>
        <w:spacing w:line="360" w:lineRule="exact"/>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网上查询地址：中国</w:t>
      </w:r>
      <w:r>
        <w:rPr>
          <w:rFonts w:hint="eastAsia" w:ascii="宋体" w:hAnsi="宋体" w:cs="宋体"/>
          <w:szCs w:val="21"/>
        </w:rPr>
        <w:t>采购与招标网、广西正海招标有限公司网。</w:t>
      </w:r>
    </w:p>
    <w:p w14:paraId="71F408D9">
      <w:pPr>
        <w:spacing w:line="360" w:lineRule="exact"/>
        <w:rPr>
          <w:rFonts w:ascii="宋体" w:hAnsi="宋体" w:cs="仿宋"/>
          <w:b/>
          <w:szCs w:val="21"/>
        </w:rPr>
      </w:pPr>
      <w:r>
        <w:rPr>
          <w:rFonts w:hint="eastAsia" w:ascii="宋体" w:hAnsi="宋体" w:cs="仿宋"/>
          <w:b/>
          <w:szCs w:val="21"/>
        </w:rPr>
        <w:t>八、凡对本次采购提出询问，请按</w:t>
      </w:r>
      <w:r>
        <w:rPr>
          <w:rFonts w:ascii="宋体" w:hAnsi="宋体" w:cs="仿宋"/>
          <w:b/>
          <w:szCs w:val="21"/>
        </w:rPr>
        <w:t>以下方式</w:t>
      </w:r>
      <w:r>
        <w:rPr>
          <w:rFonts w:hint="eastAsia" w:ascii="宋体" w:hAnsi="宋体" w:cs="仿宋"/>
          <w:b/>
          <w:szCs w:val="21"/>
        </w:rPr>
        <w:t>联系：</w:t>
      </w:r>
    </w:p>
    <w:p w14:paraId="4C69CFEE">
      <w:pPr>
        <w:spacing w:line="360" w:lineRule="exact"/>
        <w:ind w:firstLine="420" w:firstLineChars="200"/>
        <w:rPr>
          <w:rFonts w:ascii="宋体" w:hAnsi="宋体"/>
          <w:szCs w:val="21"/>
        </w:rPr>
      </w:pPr>
      <w:r>
        <w:rPr>
          <w:rFonts w:hint="eastAsia" w:ascii="宋体" w:hAnsi="宋体"/>
          <w:szCs w:val="21"/>
        </w:rPr>
        <w:t>1.采购人信息</w:t>
      </w:r>
    </w:p>
    <w:p w14:paraId="1B0F515E">
      <w:pPr>
        <w:spacing w:line="360" w:lineRule="exact"/>
        <w:ind w:firstLine="420" w:firstLineChars="200"/>
        <w:rPr>
          <w:rFonts w:ascii="宋体" w:hAnsi="宋体"/>
          <w:szCs w:val="21"/>
        </w:rPr>
      </w:pPr>
      <w:r>
        <w:rPr>
          <w:rFonts w:hint="eastAsia" w:ascii="宋体" w:hAnsi="宋体"/>
          <w:szCs w:val="21"/>
        </w:rPr>
        <w:t xml:space="preserve">名称：南宁师范大学  </w:t>
      </w:r>
    </w:p>
    <w:p w14:paraId="4D5C474C">
      <w:pPr>
        <w:spacing w:line="360" w:lineRule="exact"/>
        <w:ind w:firstLine="420" w:firstLineChars="200"/>
        <w:rPr>
          <w:rFonts w:ascii="宋体" w:hAnsi="宋体"/>
          <w:szCs w:val="21"/>
        </w:rPr>
      </w:pPr>
      <w:r>
        <w:rPr>
          <w:rFonts w:hint="eastAsia" w:ascii="宋体" w:hAnsi="宋体"/>
          <w:szCs w:val="21"/>
        </w:rPr>
        <w:t xml:space="preserve">地址：广西壮族自治区南宁市明秀东路175号  </w:t>
      </w:r>
    </w:p>
    <w:p w14:paraId="23C9561B">
      <w:pPr>
        <w:spacing w:line="360" w:lineRule="exact"/>
        <w:ind w:firstLine="420" w:firstLineChars="200"/>
        <w:rPr>
          <w:rFonts w:ascii="宋体" w:hAnsi="宋体"/>
          <w:szCs w:val="21"/>
        </w:rPr>
      </w:pPr>
      <w:r>
        <w:rPr>
          <w:rFonts w:hint="eastAsia" w:ascii="宋体" w:hAnsi="宋体"/>
          <w:szCs w:val="21"/>
        </w:rPr>
        <w:t>联系人：汪老师</w:t>
      </w:r>
      <w:r>
        <w:rPr>
          <w:rFonts w:hint="eastAsia" w:ascii="宋体" w:hAnsi="宋体" w:cs="Arial"/>
          <w:szCs w:val="21"/>
        </w:rPr>
        <w:t xml:space="preserve"> </w:t>
      </w:r>
      <w:r>
        <w:rPr>
          <w:rFonts w:hint="eastAsia" w:ascii="宋体" w:hAnsi="宋体"/>
          <w:szCs w:val="21"/>
        </w:rPr>
        <w:t xml:space="preserve">   联系电话：0771-3908051</w:t>
      </w:r>
    </w:p>
    <w:p w14:paraId="06702F61">
      <w:pPr>
        <w:spacing w:line="360" w:lineRule="exact"/>
        <w:ind w:firstLine="420" w:firstLineChars="200"/>
        <w:rPr>
          <w:rFonts w:ascii="宋体" w:hAnsi="宋体"/>
          <w:szCs w:val="21"/>
        </w:rPr>
      </w:pPr>
      <w:r>
        <w:rPr>
          <w:rFonts w:hint="eastAsia" w:ascii="宋体" w:hAnsi="宋体"/>
          <w:szCs w:val="21"/>
        </w:rPr>
        <w:t>2. 采购代理机构信息</w:t>
      </w:r>
    </w:p>
    <w:p w14:paraId="3F2EB2D4">
      <w:pPr>
        <w:spacing w:line="360" w:lineRule="exact"/>
        <w:ind w:firstLine="420" w:firstLineChars="200"/>
        <w:rPr>
          <w:rFonts w:ascii="宋体" w:hAnsi="宋体"/>
          <w:szCs w:val="21"/>
        </w:rPr>
      </w:pPr>
      <w:r>
        <w:rPr>
          <w:rFonts w:hint="eastAsia" w:ascii="宋体" w:hAnsi="宋体"/>
          <w:szCs w:val="21"/>
        </w:rPr>
        <w:t xml:space="preserve">名称：广西正海招标有限公司  </w:t>
      </w:r>
    </w:p>
    <w:p w14:paraId="12CC9628">
      <w:pPr>
        <w:spacing w:line="360" w:lineRule="exact"/>
        <w:ind w:firstLine="420" w:firstLineChars="200"/>
        <w:rPr>
          <w:rFonts w:ascii="宋体" w:hAnsi="宋体"/>
          <w:szCs w:val="21"/>
        </w:rPr>
      </w:pPr>
      <w:r>
        <w:rPr>
          <w:rFonts w:hint="eastAsia" w:ascii="宋体" w:hAnsi="宋体"/>
          <w:szCs w:val="21"/>
        </w:rPr>
        <w:t>地址：南宁市青秀区茅桥路2号习艺基地A栋1号电梯3楼</w:t>
      </w:r>
    </w:p>
    <w:p w14:paraId="1D0A9CE3">
      <w:pPr>
        <w:spacing w:line="360" w:lineRule="exact"/>
        <w:ind w:firstLine="420" w:firstLineChars="200"/>
        <w:rPr>
          <w:rFonts w:ascii="宋体" w:hAnsi="宋体"/>
          <w:szCs w:val="21"/>
        </w:rPr>
      </w:pPr>
      <w:r>
        <w:rPr>
          <w:rFonts w:hint="eastAsia" w:ascii="宋体" w:hAnsi="宋体"/>
          <w:szCs w:val="21"/>
        </w:rPr>
        <w:t xml:space="preserve">联系人：谭工    联系电话：0771-2865989   </w:t>
      </w:r>
    </w:p>
    <w:p w14:paraId="1F0764B7">
      <w:pPr>
        <w:spacing w:line="360" w:lineRule="exact"/>
        <w:ind w:firstLine="420" w:firstLineChars="200"/>
        <w:rPr>
          <w:rFonts w:ascii="宋体" w:hAnsi="宋体"/>
          <w:szCs w:val="21"/>
        </w:rPr>
      </w:pPr>
      <w:r>
        <w:rPr>
          <w:rFonts w:hint="eastAsia" w:ascii="宋体" w:hAnsi="宋体"/>
          <w:szCs w:val="21"/>
        </w:rPr>
        <w:t>3.项目联系方式</w:t>
      </w:r>
    </w:p>
    <w:p w14:paraId="1B92DCE3">
      <w:pPr>
        <w:spacing w:line="360" w:lineRule="exact"/>
        <w:ind w:firstLine="420" w:firstLineChars="200"/>
        <w:rPr>
          <w:rFonts w:ascii="宋体" w:hAnsi="宋体"/>
          <w:szCs w:val="21"/>
        </w:rPr>
        <w:sectPr>
          <w:footerReference r:id="rId11" w:type="default"/>
          <w:pgSz w:w="11906" w:h="16838"/>
          <w:pgMar w:top="991" w:right="1304" w:bottom="1191" w:left="1304" w:header="851" w:footer="992" w:gutter="0"/>
          <w:pgNumType w:start="1"/>
          <w:cols w:space="720" w:num="1"/>
          <w:docGrid w:linePitch="312" w:charSpace="0"/>
        </w:sectPr>
      </w:pPr>
      <w:r>
        <w:rPr>
          <w:rFonts w:hint="eastAsia" w:ascii="宋体" w:hAnsi="宋体"/>
          <w:szCs w:val="21"/>
        </w:rPr>
        <w:t>项目联系人：谭工    电话：0771-286598</w:t>
      </w:r>
      <w:r>
        <w:rPr>
          <w:rFonts w:hint="eastAsia" w:ascii="宋体" w:hAnsi="宋体" w:cs="宋体"/>
          <w:szCs w:val="21"/>
        </w:rPr>
        <w:t>9</w:t>
      </w:r>
      <w:bookmarkEnd w:id="10"/>
    </w:p>
    <w:p w14:paraId="4DCB5485">
      <w:pPr>
        <w:pStyle w:val="2"/>
        <w:spacing w:before="100" w:after="90" w:line="240" w:lineRule="auto"/>
        <w:jc w:val="center"/>
        <w:rPr>
          <w:rFonts w:ascii="宋体" w:hAnsi="宋体" w:cs="宋体"/>
          <w:szCs w:val="32"/>
        </w:rPr>
      </w:pPr>
      <w:bookmarkStart w:id="17" w:name="_Toc21435"/>
      <w:bookmarkStart w:id="18" w:name="_Toc19400"/>
      <w:bookmarkStart w:id="19" w:name="_Toc11383"/>
      <w:r>
        <w:rPr>
          <w:rFonts w:hint="eastAsia" w:ascii="宋体" w:hAnsi="宋体" w:cs="宋体"/>
          <w:szCs w:val="32"/>
        </w:rPr>
        <w:t>第二章 磋商须知</w:t>
      </w:r>
      <w:bookmarkEnd w:id="17"/>
      <w:bookmarkEnd w:id="18"/>
      <w:bookmarkEnd w:id="19"/>
    </w:p>
    <w:p w14:paraId="459E9506">
      <w:pPr>
        <w:jc w:val="center"/>
        <w:rPr>
          <w:rFonts w:ascii="宋体" w:hAnsi="宋体" w:cs="宋体"/>
          <w:b/>
          <w:sz w:val="28"/>
          <w:szCs w:val="28"/>
        </w:rPr>
      </w:pPr>
    </w:p>
    <w:p w14:paraId="6076967F">
      <w:pPr>
        <w:jc w:val="center"/>
        <w:rPr>
          <w:rFonts w:ascii="宋体" w:hAnsi="宋体" w:cs="宋体"/>
          <w:b/>
          <w:sz w:val="28"/>
          <w:szCs w:val="28"/>
        </w:rPr>
      </w:pPr>
      <w:r>
        <w:rPr>
          <w:rFonts w:hint="eastAsia" w:ascii="宋体" w:hAnsi="宋体" w:cs="宋体"/>
          <w:b/>
          <w:sz w:val="28"/>
          <w:szCs w:val="28"/>
        </w:rPr>
        <w:t>供应商须知前附表</w:t>
      </w:r>
    </w:p>
    <w:tbl>
      <w:tblPr>
        <w:tblStyle w:val="54"/>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888"/>
        <w:gridCol w:w="7512"/>
      </w:tblGrid>
      <w:tr w14:paraId="59CE9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tcPr>
          <w:p w14:paraId="79900487">
            <w:pPr>
              <w:spacing w:line="400" w:lineRule="exact"/>
              <w:jc w:val="center"/>
              <w:rPr>
                <w:rFonts w:ascii="宋体" w:hAnsi="宋体" w:cs="宋体"/>
                <w:b/>
                <w:szCs w:val="21"/>
              </w:rPr>
            </w:pPr>
            <w:r>
              <w:rPr>
                <w:rFonts w:hint="eastAsia" w:ascii="宋体" w:hAnsi="宋体" w:cs="宋体"/>
                <w:b/>
                <w:szCs w:val="21"/>
              </w:rPr>
              <w:t>序号</w:t>
            </w:r>
          </w:p>
        </w:tc>
        <w:tc>
          <w:tcPr>
            <w:tcW w:w="888" w:type="dxa"/>
          </w:tcPr>
          <w:p w14:paraId="76CB8E9B">
            <w:pPr>
              <w:spacing w:line="400" w:lineRule="exact"/>
              <w:jc w:val="center"/>
              <w:rPr>
                <w:rFonts w:ascii="宋体" w:hAnsi="宋体" w:cs="宋体"/>
                <w:b/>
                <w:szCs w:val="21"/>
              </w:rPr>
            </w:pPr>
            <w:r>
              <w:rPr>
                <w:rFonts w:hint="eastAsia" w:ascii="宋体" w:hAnsi="宋体" w:cs="宋体"/>
                <w:b/>
                <w:szCs w:val="21"/>
              </w:rPr>
              <w:t>条款号</w:t>
            </w:r>
          </w:p>
        </w:tc>
        <w:tc>
          <w:tcPr>
            <w:tcW w:w="7512" w:type="dxa"/>
          </w:tcPr>
          <w:p w14:paraId="067875B4">
            <w:pPr>
              <w:spacing w:line="400" w:lineRule="exact"/>
              <w:jc w:val="center"/>
              <w:rPr>
                <w:rFonts w:ascii="宋体" w:hAnsi="宋体" w:cs="宋体"/>
                <w:b/>
                <w:szCs w:val="21"/>
              </w:rPr>
            </w:pPr>
            <w:r>
              <w:rPr>
                <w:rFonts w:hint="eastAsia" w:ascii="宋体" w:hAnsi="宋体" w:cs="宋体"/>
                <w:b/>
                <w:szCs w:val="21"/>
              </w:rPr>
              <w:t>内    容</w:t>
            </w:r>
          </w:p>
        </w:tc>
      </w:tr>
      <w:tr w14:paraId="56E04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07996D09">
            <w:pPr>
              <w:numPr>
                <w:ilvl w:val="0"/>
                <w:numId w:val="7"/>
              </w:numPr>
              <w:spacing w:line="400" w:lineRule="exact"/>
              <w:ind w:hanging="269"/>
              <w:rPr>
                <w:rFonts w:ascii="宋体" w:hAnsi="宋体" w:cs="宋体"/>
                <w:szCs w:val="21"/>
              </w:rPr>
            </w:pPr>
            <w:r>
              <w:rPr>
                <w:rFonts w:hint="eastAsia" w:ascii="宋体" w:hAnsi="宋体" w:cs="宋体"/>
                <w:szCs w:val="21"/>
              </w:rPr>
              <w:t>1</w:t>
            </w:r>
          </w:p>
        </w:tc>
        <w:tc>
          <w:tcPr>
            <w:tcW w:w="888" w:type="dxa"/>
            <w:vAlign w:val="center"/>
          </w:tcPr>
          <w:p w14:paraId="673386C2">
            <w:pPr>
              <w:spacing w:line="400" w:lineRule="exact"/>
              <w:jc w:val="center"/>
              <w:rPr>
                <w:rFonts w:ascii="宋体" w:hAnsi="宋体" w:cs="宋体"/>
                <w:szCs w:val="21"/>
              </w:rPr>
            </w:pPr>
            <w:r>
              <w:rPr>
                <w:rFonts w:hint="eastAsia" w:ascii="宋体" w:hAnsi="宋体" w:cs="宋体"/>
                <w:szCs w:val="21"/>
              </w:rPr>
              <w:t>1.1</w:t>
            </w:r>
          </w:p>
        </w:tc>
        <w:tc>
          <w:tcPr>
            <w:tcW w:w="7512" w:type="dxa"/>
            <w:vAlign w:val="center"/>
          </w:tcPr>
          <w:p w14:paraId="33999063">
            <w:pPr>
              <w:spacing w:line="400" w:lineRule="exact"/>
              <w:rPr>
                <w:rFonts w:ascii="宋体" w:hAnsi="宋体" w:cs="宋体"/>
                <w:szCs w:val="21"/>
              </w:rPr>
            </w:pPr>
            <w:r>
              <w:rPr>
                <w:rFonts w:hint="eastAsia" w:ascii="宋体" w:hAnsi="宋体" w:cs="宋体"/>
                <w:szCs w:val="21"/>
              </w:rPr>
              <w:t xml:space="preserve">项目名称：南宁师范大学武鸣五合校园共享单车服务采购项目 </w:t>
            </w:r>
          </w:p>
          <w:p w14:paraId="18D05783">
            <w:pPr>
              <w:spacing w:line="400" w:lineRule="exact"/>
              <w:rPr>
                <w:rFonts w:ascii="宋体" w:hAnsi="宋体" w:cs="宋体"/>
                <w:szCs w:val="21"/>
              </w:rPr>
            </w:pPr>
            <w:r>
              <w:rPr>
                <w:rFonts w:hint="eastAsia" w:ascii="宋体" w:hAnsi="宋体" w:cs="宋体"/>
                <w:szCs w:val="21"/>
              </w:rPr>
              <w:t>项目编号：GXZH2025-C3-092</w:t>
            </w:r>
          </w:p>
        </w:tc>
      </w:tr>
      <w:tr w14:paraId="4CDF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5BB9570B">
            <w:pPr>
              <w:numPr>
                <w:ilvl w:val="0"/>
                <w:numId w:val="7"/>
              </w:numPr>
              <w:spacing w:line="400" w:lineRule="exact"/>
              <w:ind w:hanging="269"/>
              <w:rPr>
                <w:rFonts w:ascii="宋体" w:hAnsi="宋体" w:cs="宋体"/>
                <w:szCs w:val="21"/>
              </w:rPr>
            </w:pPr>
            <w:r>
              <w:rPr>
                <w:rFonts w:hint="eastAsia" w:ascii="宋体" w:hAnsi="宋体" w:cs="宋体"/>
                <w:szCs w:val="21"/>
              </w:rPr>
              <w:t>2</w:t>
            </w:r>
          </w:p>
        </w:tc>
        <w:tc>
          <w:tcPr>
            <w:tcW w:w="888" w:type="dxa"/>
            <w:vAlign w:val="center"/>
          </w:tcPr>
          <w:p w14:paraId="1C01BB64">
            <w:pPr>
              <w:spacing w:line="400" w:lineRule="exact"/>
              <w:jc w:val="center"/>
              <w:rPr>
                <w:rFonts w:ascii="宋体" w:hAnsi="宋体" w:cs="宋体"/>
                <w:szCs w:val="21"/>
              </w:rPr>
            </w:pPr>
            <w:r>
              <w:rPr>
                <w:rFonts w:hint="eastAsia" w:ascii="宋体" w:hAnsi="宋体" w:cs="宋体"/>
                <w:szCs w:val="21"/>
              </w:rPr>
              <w:t>3</w:t>
            </w:r>
          </w:p>
        </w:tc>
        <w:tc>
          <w:tcPr>
            <w:tcW w:w="7512" w:type="dxa"/>
            <w:vAlign w:val="center"/>
          </w:tcPr>
          <w:p w14:paraId="659F9277">
            <w:pPr>
              <w:spacing w:line="400" w:lineRule="exact"/>
              <w:rPr>
                <w:rFonts w:ascii="宋体" w:hAnsi="宋体" w:cs="宋体"/>
                <w:szCs w:val="21"/>
              </w:rPr>
            </w:pPr>
            <w:r>
              <w:rPr>
                <w:rFonts w:hint="eastAsia" w:ascii="宋体" w:hAnsi="宋体" w:cs="宋体"/>
                <w:szCs w:val="21"/>
              </w:rPr>
              <w:t>供应商的基本条件：</w:t>
            </w:r>
          </w:p>
          <w:p w14:paraId="5BC520A7">
            <w:pPr>
              <w:spacing w:line="400" w:lineRule="exact"/>
              <w:rPr>
                <w:rFonts w:ascii="宋体" w:hAnsi="宋体" w:cs="宋体"/>
                <w:szCs w:val="21"/>
              </w:rPr>
            </w:pPr>
            <w:r>
              <w:rPr>
                <w:rFonts w:hint="eastAsia" w:ascii="宋体" w:hAnsi="宋体" w:cs="宋体"/>
                <w:szCs w:val="21"/>
              </w:rPr>
              <w:t xml:space="preserve">供应商资格：按第一章磋商公告第二条规定。 </w:t>
            </w:r>
          </w:p>
        </w:tc>
      </w:tr>
      <w:tr w14:paraId="1216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30E1D0C0">
            <w:pPr>
              <w:numPr>
                <w:ilvl w:val="0"/>
                <w:numId w:val="7"/>
              </w:numPr>
              <w:spacing w:line="400" w:lineRule="exact"/>
              <w:ind w:hanging="269"/>
              <w:rPr>
                <w:rFonts w:ascii="宋体" w:hAnsi="宋体" w:cs="宋体"/>
                <w:szCs w:val="21"/>
              </w:rPr>
            </w:pPr>
            <w:r>
              <w:rPr>
                <w:rFonts w:hint="eastAsia" w:ascii="宋体" w:hAnsi="宋体" w:cs="宋体"/>
                <w:szCs w:val="21"/>
              </w:rPr>
              <w:t>3</w:t>
            </w:r>
          </w:p>
        </w:tc>
        <w:tc>
          <w:tcPr>
            <w:tcW w:w="888" w:type="dxa"/>
            <w:vAlign w:val="center"/>
          </w:tcPr>
          <w:p w14:paraId="71CADCBA">
            <w:pPr>
              <w:spacing w:line="400" w:lineRule="exact"/>
              <w:jc w:val="center"/>
              <w:rPr>
                <w:rFonts w:ascii="宋体" w:hAnsi="宋体" w:cs="宋体"/>
                <w:szCs w:val="21"/>
              </w:rPr>
            </w:pPr>
            <w:r>
              <w:rPr>
                <w:rFonts w:hint="eastAsia" w:ascii="宋体" w:hAnsi="宋体" w:cs="宋体"/>
                <w:szCs w:val="21"/>
              </w:rPr>
              <w:t>29</w:t>
            </w:r>
          </w:p>
        </w:tc>
        <w:tc>
          <w:tcPr>
            <w:tcW w:w="7512" w:type="dxa"/>
            <w:vAlign w:val="center"/>
          </w:tcPr>
          <w:p w14:paraId="7B374E46">
            <w:pPr>
              <w:widowControl/>
              <w:spacing w:line="400" w:lineRule="exact"/>
              <w:jc w:val="left"/>
              <w:rPr>
                <w:rFonts w:ascii="宋体" w:hAnsi="宋体" w:cs="宋体"/>
                <w:kern w:val="0"/>
                <w:szCs w:val="21"/>
              </w:rPr>
            </w:pPr>
            <w:r>
              <w:rPr>
                <w:rFonts w:hint="eastAsia" w:ascii="宋体" w:hAnsi="宋体" w:cs="宋体"/>
                <w:b/>
                <w:szCs w:val="21"/>
              </w:rPr>
              <w:t>代理服务费</w:t>
            </w:r>
            <w:r>
              <w:rPr>
                <w:rFonts w:hint="eastAsia" w:ascii="宋体" w:hAnsi="宋体" w:cs="宋体"/>
                <w:szCs w:val="21"/>
              </w:rPr>
              <w:t>：</w:t>
            </w:r>
            <w:r>
              <w:rPr>
                <w:rFonts w:hint="eastAsia" w:ascii="宋体" w:hAnsi="宋体" w:cs="宋体"/>
                <w:kern w:val="0"/>
                <w:szCs w:val="21"/>
              </w:rPr>
              <w:t>本项目采购代理服务费参考桂价费【2011】55号文标准采用差额定率累进计费方式（服务类）计算，不足人民币壹万元整时按人民币壹万元整收取，由成交供应商在领取成交通知书前，一次性向采购代理机构支付。</w:t>
            </w:r>
          </w:p>
          <w:p w14:paraId="5B380A46">
            <w:pPr>
              <w:spacing w:line="400" w:lineRule="exact"/>
              <w:rPr>
                <w:rFonts w:ascii="宋体" w:hAnsi="宋体" w:cs="宋体"/>
                <w:szCs w:val="21"/>
              </w:rPr>
            </w:pPr>
            <w:r>
              <w:rPr>
                <w:rFonts w:hint="eastAsia" w:ascii="宋体" w:hAnsi="宋体" w:cs="宋体"/>
                <w:szCs w:val="21"/>
              </w:rPr>
              <w:t>采购代理机构收取采购代理服务费的银行账户如下：</w:t>
            </w:r>
          </w:p>
          <w:p w14:paraId="3B8B3425">
            <w:pPr>
              <w:spacing w:line="400" w:lineRule="exact"/>
              <w:rPr>
                <w:rFonts w:ascii="宋体" w:hAnsi="宋体" w:cs="宋体"/>
                <w:szCs w:val="21"/>
              </w:rPr>
            </w:pPr>
            <w:r>
              <w:rPr>
                <w:rFonts w:hint="eastAsia" w:ascii="宋体" w:hAnsi="宋体" w:cs="宋体"/>
                <w:szCs w:val="21"/>
              </w:rPr>
              <w:t>户名：广西正海招标有限公司</w:t>
            </w:r>
          </w:p>
          <w:p w14:paraId="5CA3F39E">
            <w:pPr>
              <w:spacing w:line="400" w:lineRule="exact"/>
              <w:rPr>
                <w:rFonts w:ascii="宋体" w:hAnsi="宋体" w:cs="宋体"/>
                <w:szCs w:val="21"/>
              </w:rPr>
            </w:pPr>
            <w:r>
              <w:rPr>
                <w:rFonts w:hint="eastAsia" w:ascii="宋体" w:hAnsi="宋体" w:cs="宋体"/>
                <w:szCs w:val="21"/>
              </w:rPr>
              <w:t>账号：7908 0188 0000 35937</w:t>
            </w:r>
          </w:p>
          <w:p w14:paraId="522D1B23">
            <w:pPr>
              <w:spacing w:line="400" w:lineRule="exact"/>
              <w:rPr>
                <w:rFonts w:ascii="宋体" w:hAnsi="宋体" w:cs="宋体"/>
              </w:rPr>
            </w:pPr>
            <w:r>
              <w:rPr>
                <w:rFonts w:hint="eastAsia" w:ascii="宋体" w:hAnsi="宋体" w:cs="宋体"/>
                <w:szCs w:val="21"/>
              </w:rPr>
              <w:t>开户行：中国光大银行股份有限公司南宁长湖支行</w:t>
            </w:r>
          </w:p>
        </w:tc>
      </w:tr>
      <w:tr w14:paraId="0425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trPr>
        <w:tc>
          <w:tcPr>
            <w:tcW w:w="762" w:type="dxa"/>
            <w:vAlign w:val="center"/>
          </w:tcPr>
          <w:p w14:paraId="4AD142EA">
            <w:pPr>
              <w:numPr>
                <w:ilvl w:val="0"/>
                <w:numId w:val="7"/>
              </w:numPr>
              <w:spacing w:line="400" w:lineRule="exact"/>
              <w:ind w:hanging="269"/>
              <w:rPr>
                <w:rFonts w:ascii="宋体" w:hAnsi="宋体" w:cs="宋体"/>
                <w:szCs w:val="21"/>
              </w:rPr>
            </w:pPr>
            <w:r>
              <w:rPr>
                <w:rFonts w:hint="eastAsia" w:ascii="宋体" w:hAnsi="宋体" w:cs="宋体"/>
                <w:szCs w:val="21"/>
              </w:rPr>
              <w:t>4</w:t>
            </w:r>
          </w:p>
        </w:tc>
        <w:tc>
          <w:tcPr>
            <w:tcW w:w="888" w:type="dxa"/>
            <w:vAlign w:val="center"/>
          </w:tcPr>
          <w:p w14:paraId="7F01DCEF">
            <w:pPr>
              <w:pStyle w:val="20"/>
              <w:spacing w:line="400" w:lineRule="exact"/>
              <w:rPr>
                <w:rFonts w:ascii="宋体" w:hAnsi="宋体" w:cs="宋体"/>
                <w:szCs w:val="21"/>
              </w:rPr>
            </w:pPr>
            <w:r>
              <w:rPr>
                <w:rFonts w:hint="eastAsia" w:ascii="宋体" w:hAnsi="宋体" w:cs="宋体"/>
              </w:rPr>
              <w:t>8.6.1</w:t>
            </w:r>
          </w:p>
        </w:tc>
        <w:tc>
          <w:tcPr>
            <w:tcW w:w="7512" w:type="dxa"/>
            <w:vAlign w:val="center"/>
          </w:tcPr>
          <w:p w14:paraId="7F0E0F35">
            <w:pPr>
              <w:spacing w:line="400" w:lineRule="exact"/>
            </w:pPr>
            <w:r>
              <w:rPr>
                <w:rFonts w:hint="eastAsia"/>
              </w:rPr>
              <w:t>价格文件（以下文件必须加盖公章，要求必须提供的文件应按要求提供，否则磋商无效）</w:t>
            </w:r>
          </w:p>
          <w:p w14:paraId="22E2E545">
            <w:pPr>
              <w:spacing w:line="400" w:lineRule="exact"/>
            </w:pPr>
            <w:r>
              <w:rPr>
                <w:rFonts w:hint="eastAsia"/>
              </w:rPr>
              <w:t>（1）磋商书及磋商声明书（必须提供）；</w:t>
            </w:r>
          </w:p>
          <w:p w14:paraId="69DE3F9A">
            <w:pPr>
              <w:spacing w:line="400" w:lineRule="exact"/>
            </w:pPr>
            <w:r>
              <w:rPr>
                <w:rFonts w:hint="eastAsia"/>
              </w:rPr>
              <w:t>（2）报价表（必须提供）。</w:t>
            </w:r>
          </w:p>
          <w:p w14:paraId="3B96801B">
            <w:pPr>
              <w:spacing w:line="400" w:lineRule="exact"/>
            </w:pPr>
            <w:r>
              <w:rPr>
                <w:rFonts w:hint="eastAsia" w:ascii="宋体" w:hAnsi="宋体" w:cs="宋体"/>
                <w:szCs w:val="21"/>
              </w:rPr>
              <w:t>（3）中小企业声明函（</w:t>
            </w:r>
            <w:r>
              <w:rPr>
                <w:rFonts w:hint="eastAsia" w:ascii="宋体" w:hAnsi="宋体" w:cs="宋体"/>
                <w:b/>
                <w:bCs/>
                <w:szCs w:val="21"/>
              </w:rPr>
              <w:t>如是，请提供</w:t>
            </w:r>
            <w:r>
              <w:rPr>
                <w:rFonts w:hint="eastAsia" w:ascii="宋体" w:hAnsi="宋体" w:cs="宋体"/>
                <w:szCs w:val="21"/>
              </w:rPr>
              <w:t>）。</w:t>
            </w:r>
          </w:p>
        </w:tc>
      </w:tr>
      <w:tr w14:paraId="29E93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0020412F">
            <w:pPr>
              <w:numPr>
                <w:ilvl w:val="0"/>
                <w:numId w:val="7"/>
              </w:numPr>
              <w:spacing w:line="400" w:lineRule="exact"/>
              <w:ind w:hanging="269"/>
              <w:rPr>
                <w:rFonts w:ascii="宋体" w:hAnsi="宋体" w:cs="宋体"/>
                <w:szCs w:val="21"/>
              </w:rPr>
            </w:pPr>
            <w:r>
              <w:rPr>
                <w:rFonts w:hint="eastAsia" w:ascii="宋体" w:hAnsi="宋体" w:cs="宋体"/>
                <w:szCs w:val="21"/>
              </w:rPr>
              <w:t>5</w:t>
            </w:r>
          </w:p>
        </w:tc>
        <w:tc>
          <w:tcPr>
            <w:tcW w:w="888" w:type="dxa"/>
            <w:vAlign w:val="center"/>
          </w:tcPr>
          <w:p w14:paraId="057FD0E8">
            <w:pPr>
              <w:spacing w:line="400" w:lineRule="exact"/>
              <w:jc w:val="center"/>
              <w:rPr>
                <w:rFonts w:ascii="宋体" w:hAnsi="宋体" w:cs="宋体"/>
                <w:szCs w:val="21"/>
              </w:rPr>
            </w:pPr>
            <w:r>
              <w:rPr>
                <w:rFonts w:hint="eastAsia" w:ascii="宋体" w:hAnsi="宋体" w:cs="宋体"/>
                <w:szCs w:val="21"/>
              </w:rPr>
              <w:t>8.6.2</w:t>
            </w:r>
          </w:p>
        </w:tc>
        <w:tc>
          <w:tcPr>
            <w:tcW w:w="7512" w:type="dxa"/>
            <w:vAlign w:val="center"/>
          </w:tcPr>
          <w:p w14:paraId="7833ECD7">
            <w:pPr>
              <w:spacing w:line="400" w:lineRule="exact"/>
              <w:rPr>
                <w:rFonts w:ascii="宋体" w:hAnsi="宋体" w:cs="宋体"/>
                <w:szCs w:val="21"/>
              </w:rPr>
            </w:pPr>
            <w:r>
              <w:rPr>
                <w:rFonts w:hint="eastAsia" w:ascii="宋体" w:hAnsi="宋体" w:cs="宋体"/>
                <w:b/>
                <w:bCs/>
                <w:szCs w:val="21"/>
              </w:rPr>
              <w:t>资格、商务技术文件</w:t>
            </w:r>
            <w:r>
              <w:rPr>
                <w:rFonts w:hint="eastAsia" w:ascii="宋体" w:hAnsi="宋体" w:cs="宋体"/>
                <w:b/>
                <w:szCs w:val="21"/>
              </w:rPr>
              <w:t>（以下文件必须加盖公章。要求必须提供的文件应按要求提供，否则磋商无效；</w:t>
            </w:r>
            <w:r>
              <w:rPr>
                <w:rFonts w:hint="eastAsia" w:ascii="宋体" w:hAnsi="宋体" w:cs="宋体"/>
                <w:szCs w:val="21"/>
              </w:rPr>
              <w:t>其余项结合第三章“项目需求”要求提供，如未提供，磋商小组有权拒绝其响应文件</w:t>
            </w:r>
            <w:r>
              <w:rPr>
                <w:rFonts w:hint="eastAsia" w:ascii="宋体" w:hAnsi="宋体" w:cs="宋体"/>
                <w:b/>
                <w:szCs w:val="21"/>
              </w:rPr>
              <w:t>）</w:t>
            </w:r>
          </w:p>
          <w:p w14:paraId="72F99509">
            <w:pPr>
              <w:spacing w:line="400" w:lineRule="exact"/>
              <w:rPr>
                <w:rFonts w:ascii="宋体" w:hAnsi="宋体" w:cs="宋体"/>
                <w:b/>
                <w:bCs/>
                <w:szCs w:val="21"/>
              </w:rPr>
            </w:pPr>
            <w:r>
              <w:rPr>
                <w:rFonts w:hint="eastAsia" w:ascii="宋体" w:hAnsi="宋体" w:cs="宋体"/>
                <w:b/>
                <w:bCs/>
                <w:szCs w:val="21"/>
              </w:rPr>
              <w:t>1．资格部分：</w:t>
            </w:r>
          </w:p>
          <w:p w14:paraId="5ED47767">
            <w:pPr>
              <w:pStyle w:val="20"/>
              <w:spacing w:line="400" w:lineRule="exact"/>
              <w:rPr>
                <w:rFonts w:ascii="宋体" w:hAnsi="宋体" w:cs="宋体"/>
                <w:b/>
                <w:szCs w:val="21"/>
              </w:rPr>
            </w:pPr>
            <w:r>
              <w:rPr>
                <w:rFonts w:hint="eastAsia" w:ascii="宋体" w:hAnsi="宋体" w:cs="宋体"/>
                <w:szCs w:val="21"/>
              </w:rPr>
              <w:t>（1）磋商供应商属于企业或事业单位的，必须提供有效的“营业执照”或“事业单位法人证书”副本复印件；供应商属于社会团体、协会等的必须提供民政部门颁发的社会团体营业执照；属于</w:t>
            </w:r>
            <w:r>
              <w:rPr>
                <w:rFonts w:hint="eastAsia"/>
              </w:rPr>
              <w:t>个人</w:t>
            </w:r>
            <w:r>
              <w:t>的必须提供身份证</w:t>
            </w:r>
            <w:r>
              <w:rPr>
                <w:rFonts w:hint="eastAsia"/>
              </w:rPr>
              <w:t>复印件</w:t>
            </w:r>
            <w:r>
              <w:rPr>
                <w:rFonts w:hint="eastAsia" w:ascii="宋体" w:hAnsi="宋体" w:cs="宋体"/>
                <w:szCs w:val="21"/>
              </w:rPr>
              <w:t>；</w:t>
            </w:r>
            <w:r>
              <w:rPr>
                <w:rFonts w:hint="eastAsia" w:ascii="宋体" w:hAnsi="宋体" w:cs="宋体"/>
                <w:b/>
                <w:szCs w:val="21"/>
              </w:rPr>
              <w:t>（必须提供）</w:t>
            </w:r>
          </w:p>
          <w:p w14:paraId="79165133">
            <w:pPr>
              <w:spacing w:line="400" w:lineRule="exact"/>
              <w:rPr>
                <w:rFonts w:ascii="宋体" w:hAnsi="宋体" w:cs="宋体"/>
                <w:b/>
                <w:szCs w:val="21"/>
              </w:rPr>
            </w:pPr>
            <w:r>
              <w:rPr>
                <w:rFonts w:hint="eastAsia" w:ascii="宋体" w:hAnsi="宋体" w:cs="宋体"/>
                <w:szCs w:val="21"/>
              </w:rPr>
              <w:t>（2）磋商供应商法定代表人身份证明书，法定代表人有效身份证正反面复印件</w:t>
            </w:r>
            <w:r>
              <w:rPr>
                <w:rFonts w:hint="eastAsia" w:ascii="宋体" w:hAnsi="宋体" w:cs="宋体"/>
                <w:b/>
                <w:szCs w:val="21"/>
              </w:rPr>
              <w:t>（必须提供）</w:t>
            </w:r>
            <w:r>
              <w:rPr>
                <w:rFonts w:hint="eastAsia" w:ascii="宋体" w:hAnsi="宋体" w:cs="宋体"/>
                <w:szCs w:val="21"/>
              </w:rPr>
              <w:t>；</w:t>
            </w:r>
          </w:p>
          <w:p w14:paraId="4FABB951">
            <w:pPr>
              <w:spacing w:line="400" w:lineRule="exact"/>
              <w:rPr>
                <w:rFonts w:ascii="宋体" w:hAnsi="宋体" w:cs="宋体"/>
                <w:szCs w:val="21"/>
              </w:rPr>
            </w:pPr>
            <w:r>
              <w:rPr>
                <w:rFonts w:hint="eastAsia" w:ascii="宋体" w:hAnsi="宋体" w:cs="宋体"/>
                <w:szCs w:val="21"/>
              </w:rPr>
              <w:t>（3）磋商供应商法定代表人授权委托书，被授权人有效身份证正反面复印件</w:t>
            </w:r>
            <w:r>
              <w:rPr>
                <w:rFonts w:hint="eastAsia" w:ascii="宋体" w:hAnsi="宋体" w:cs="宋体"/>
                <w:b/>
                <w:szCs w:val="21"/>
              </w:rPr>
              <w:t>（委托代理时，必须提供）</w:t>
            </w:r>
            <w:r>
              <w:rPr>
                <w:rFonts w:hint="eastAsia" w:ascii="宋体" w:hAnsi="宋体" w:cs="宋体"/>
                <w:szCs w:val="21"/>
              </w:rPr>
              <w:t>；</w:t>
            </w:r>
          </w:p>
          <w:p w14:paraId="0DBD5CEB">
            <w:pPr>
              <w:pStyle w:val="34"/>
              <w:tabs>
                <w:tab w:val="clear" w:pos="4153"/>
                <w:tab w:val="clear" w:pos="8306"/>
              </w:tabs>
              <w:spacing w:line="400" w:lineRule="exact"/>
              <w:rPr>
                <w:rFonts w:ascii="宋体" w:hAnsi="宋体" w:cs="宋体"/>
                <w:kern w:val="2"/>
                <w:sz w:val="21"/>
                <w:szCs w:val="21"/>
              </w:rPr>
            </w:pPr>
            <w:r>
              <w:rPr>
                <w:rFonts w:hint="eastAsia" w:ascii="宋体" w:hAnsi="宋体" w:cs="宋体"/>
                <w:kern w:val="2"/>
                <w:sz w:val="21"/>
                <w:szCs w:val="21"/>
              </w:rPr>
              <w:t>（4）供应商依法缴纳税收的相关材料（2025年6月至2025年11月任意1个月的依法缴纳税收的凭据复印件；依法免税的，必须提供相应文件证明其依法免税。从成立之日起到响应文件提交截止时间止不足要求月数的，只需提供从成立之日起的依法缴纳税收相应证明文件）；（必须提供，否则响应文件按无效响应处理）</w:t>
            </w:r>
          </w:p>
          <w:p w14:paraId="00CA92C3">
            <w:pPr>
              <w:pStyle w:val="34"/>
              <w:tabs>
                <w:tab w:val="clear" w:pos="4153"/>
                <w:tab w:val="clear" w:pos="8306"/>
              </w:tabs>
              <w:spacing w:line="400" w:lineRule="exact"/>
              <w:rPr>
                <w:rFonts w:ascii="宋体" w:hAnsi="宋体" w:cs="宋体"/>
                <w:b/>
                <w:bCs/>
                <w:kern w:val="2"/>
                <w:sz w:val="21"/>
                <w:szCs w:val="21"/>
              </w:rPr>
            </w:pPr>
            <w:r>
              <w:rPr>
                <w:rFonts w:hint="eastAsia" w:ascii="宋体" w:hAnsi="宋体" w:cs="宋体"/>
                <w:kern w:val="2"/>
                <w:sz w:val="21"/>
                <w:szCs w:val="21"/>
              </w:rPr>
              <w:t>（5）供应商依法缴纳社会保障资金的相关材料[2025年6月至2025年11月任意1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bCs/>
                <w:kern w:val="2"/>
                <w:sz w:val="21"/>
                <w:szCs w:val="21"/>
              </w:rPr>
              <w:t>（必须提供）</w:t>
            </w:r>
            <w:r>
              <w:rPr>
                <w:rFonts w:hint="eastAsia" w:ascii="宋体" w:hAnsi="宋体" w:cs="宋体"/>
                <w:kern w:val="2"/>
                <w:sz w:val="21"/>
                <w:szCs w:val="21"/>
              </w:rPr>
              <w:t>；</w:t>
            </w:r>
          </w:p>
          <w:p w14:paraId="58606FB5">
            <w:pPr>
              <w:pStyle w:val="34"/>
              <w:tabs>
                <w:tab w:val="clear" w:pos="4153"/>
                <w:tab w:val="clear" w:pos="8306"/>
              </w:tabs>
              <w:spacing w:line="400" w:lineRule="exact"/>
              <w:rPr>
                <w:rFonts w:ascii="宋体" w:hAnsi="宋体" w:cs="宋体"/>
                <w:kern w:val="2"/>
                <w:sz w:val="21"/>
                <w:szCs w:val="21"/>
              </w:rPr>
            </w:pPr>
            <w:r>
              <w:rPr>
                <w:rFonts w:hint="eastAsia" w:ascii="宋体" w:hAnsi="宋体" w:cs="宋体"/>
                <w:kern w:val="2"/>
                <w:sz w:val="21"/>
                <w:szCs w:val="21"/>
              </w:rPr>
              <w:t>（6）供应商2024年度的的财务审计报告或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bCs/>
                <w:kern w:val="2"/>
                <w:sz w:val="21"/>
                <w:szCs w:val="21"/>
              </w:rPr>
              <w:t>（必须提供）；</w:t>
            </w:r>
          </w:p>
          <w:p w14:paraId="1D6587F0">
            <w:pPr>
              <w:pStyle w:val="34"/>
              <w:tabs>
                <w:tab w:val="clear" w:pos="4153"/>
                <w:tab w:val="clear" w:pos="8306"/>
              </w:tabs>
              <w:spacing w:line="400" w:lineRule="exact"/>
              <w:rPr>
                <w:rFonts w:ascii="宋体" w:hAnsi="宋体" w:cs="宋体"/>
                <w:kern w:val="2"/>
                <w:sz w:val="21"/>
                <w:szCs w:val="21"/>
              </w:rPr>
            </w:pPr>
            <w:r>
              <w:rPr>
                <w:rFonts w:hint="eastAsia" w:ascii="宋体" w:hAnsi="宋体" w:cs="宋体"/>
                <w:kern w:val="2"/>
                <w:sz w:val="21"/>
                <w:szCs w:val="21"/>
              </w:rPr>
              <w:t>（7）近三年在经营活动中没有重大违法记录的书面声明原件</w:t>
            </w:r>
            <w:r>
              <w:rPr>
                <w:rFonts w:hint="eastAsia" w:ascii="宋体" w:hAnsi="宋体" w:cs="宋体"/>
                <w:b/>
                <w:bCs/>
                <w:kern w:val="2"/>
                <w:sz w:val="21"/>
                <w:szCs w:val="21"/>
              </w:rPr>
              <w:t>（必须提供，格式见附件）</w:t>
            </w:r>
            <w:r>
              <w:rPr>
                <w:rFonts w:hint="eastAsia" w:ascii="宋体" w:hAnsi="宋体" w:cs="宋体"/>
                <w:kern w:val="2"/>
                <w:sz w:val="21"/>
                <w:szCs w:val="21"/>
              </w:rPr>
              <w:t>；</w:t>
            </w:r>
          </w:p>
          <w:p w14:paraId="0A06AACF">
            <w:pPr>
              <w:spacing w:line="400" w:lineRule="exact"/>
              <w:rPr>
                <w:rFonts w:ascii="宋体" w:hAnsi="宋体" w:cs="宋体"/>
                <w:szCs w:val="21"/>
              </w:rPr>
            </w:pPr>
            <w:r>
              <w:rPr>
                <w:rFonts w:hint="eastAsia" w:ascii="宋体" w:hAnsi="宋体"/>
                <w:szCs w:val="21"/>
              </w:rPr>
              <w:t>（8）供应商直接控股、管理关系信息表</w:t>
            </w:r>
            <w:r>
              <w:rPr>
                <w:rFonts w:hint="eastAsia" w:ascii="宋体" w:hAnsi="宋体"/>
                <w:b/>
                <w:bCs/>
                <w:szCs w:val="21"/>
              </w:rPr>
              <w:t>（格式见附件，必须提供）</w:t>
            </w:r>
            <w:r>
              <w:rPr>
                <w:rFonts w:hint="eastAsia" w:ascii="宋体" w:hAnsi="宋体"/>
                <w:szCs w:val="21"/>
              </w:rPr>
              <w:t>；</w:t>
            </w:r>
          </w:p>
          <w:p w14:paraId="2EFF4828">
            <w:pPr>
              <w:spacing w:line="400" w:lineRule="exact"/>
              <w:rPr>
                <w:rFonts w:ascii="宋体" w:hAnsi="宋体" w:cs="宋体"/>
                <w:b/>
                <w:bCs/>
                <w:szCs w:val="21"/>
              </w:rPr>
            </w:pPr>
            <w:r>
              <w:rPr>
                <w:rFonts w:hint="eastAsia" w:ascii="宋体" w:hAnsi="宋体" w:cs="宋体"/>
                <w:b/>
                <w:bCs/>
                <w:szCs w:val="21"/>
              </w:rPr>
              <w:t>2．商务技术部分：</w:t>
            </w:r>
          </w:p>
          <w:p w14:paraId="16077A61">
            <w:pPr>
              <w:spacing w:line="400" w:lineRule="exact"/>
              <w:rPr>
                <w:rFonts w:ascii="宋体" w:hAnsi="宋体" w:cs="宋体"/>
                <w:szCs w:val="21"/>
              </w:rPr>
            </w:pPr>
            <w:r>
              <w:rPr>
                <w:rFonts w:hint="eastAsia" w:ascii="宋体" w:hAnsi="宋体" w:cs="宋体"/>
                <w:szCs w:val="21"/>
              </w:rPr>
              <w:t>（1）磋商保证金交纳证明（银行转账、电汇凭证、本项目银行保函证明均可）</w:t>
            </w:r>
            <w:r>
              <w:rPr>
                <w:rFonts w:hint="eastAsia" w:ascii="宋体" w:hAnsi="宋体" w:cs="宋体"/>
                <w:b/>
                <w:szCs w:val="21"/>
              </w:rPr>
              <w:t>（必须提供）</w:t>
            </w:r>
            <w:r>
              <w:rPr>
                <w:rFonts w:hint="eastAsia" w:ascii="宋体" w:hAnsi="宋体" w:cs="宋体"/>
                <w:szCs w:val="21"/>
              </w:rPr>
              <w:t>；</w:t>
            </w:r>
          </w:p>
          <w:p w14:paraId="1B15DB75">
            <w:pPr>
              <w:spacing w:line="400" w:lineRule="exact"/>
              <w:rPr>
                <w:rFonts w:ascii="宋体" w:hAnsi="宋体" w:cs="宋体"/>
                <w:szCs w:val="21"/>
              </w:rPr>
            </w:pPr>
            <w:r>
              <w:rPr>
                <w:rFonts w:hint="eastAsia" w:ascii="宋体" w:hAnsi="宋体" w:cs="宋体"/>
                <w:szCs w:val="21"/>
              </w:rPr>
              <w:t>（2）服务偏离情况说明表</w:t>
            </w:r>
            <w:r>
              <w:rPr>
                <w:rFonts w:hint="eastAsia" w:ascii="宋体" w:hAnsi="宋体" w:cs="宋体"/>
                <w:b/>
                <w:szCs w:val="21"/>
              </w:rPr>
              <w:t>（必须提供</w:t>
            </w:r>
            <w:r>
              <w:rPr>
                <w:rFonts w:hint="eastAsia" w:ascii="宋体" w:hAnsi="宋体" w:cs="宋体"/>
                <w:b/>
                <w:bCs/>
                <w:szCs w:val="21"/>
              </w:rPr>
              <w:t>，格式见附件</w:t>
            </w:r>
            <w:r>
              <w:rPr>
                <w:rFonts w:hint="eastAsia" w:ascii="宋体" w:hAnsi="宋体" w:cs="宋体"/>
                <w:b/>
                <w:szCs w:val="21"/>
              </w:rPr>
              <w:t>）</w:t>
            </w:r>
            <w:r>
              <w:rPr>
                <w:rFonts w:hint="eastAsia" w:ascii="宋体" w:hAnsi="宋体" w:cs="宋体"/>
                <w:szCs w:val="21"/>
              </w:rPr>
              <w:t>；</w:t>
            </w:r>
          </w:p>
          <w:p w14:paraId="12533E04">
            <w:pPr>
              <w:spacing w:line="400" w:lineRule="exact"/>
            </w:pPr>
            <w:r>
              <w:rPr>
                <w:rFonts w:hint="eastAsia" w:ascii="宋体" w:hAnsi="宋体" w:cs="宋体"/>
                <w:szCs w:val="21"/>
              </w:rPr>
              <w:t>（3）商务响应表</w:t>
            </w:r>
            <w:r>
              <w:rPr>
                <w:rFonts w:hint="eastAsia" w:ascii="宋体" w:hAnsi="宋体" w:cs="宋体"/>
                <w:b/>
                <w:szCs w:val="21"/>
              </w:rPr>
              <w:t>（必须提供</w:t>
            </w:r>
            <w:r>
              <w:rPr>
                <w:rFonts w:hint="eastAsia" w:ascii="宋体" w:hAnsi="宋体" w:cs="宋体"/>
                <w:b/>
                <w:bCs/>
                <w:szCs w:val="21"/>
              </w:rPr>
              <w:t>，格式见附件</w:t>
            </w:r>
            <w:r>
              <w:rPr>
                <w:rFonts w:hint="eastAsia" w:ascii="宋体" w:hAnsi="宋体" w:cs="宋体"/>
                <w:b/>
                <w:szCs w:val="21"/>
              </w:rPr>
              <w:t>）</w:t>
            </w:r>
            <w:r>
              <w:rPr>
                <w:rFonts w:hint="eastAsia" w:ascii="宋体" w:hAnsi="宋体" w:cs="宋体"/>
                <w:szCs w:val="21"/>
              </w:rPr>
              <w:t>；</w:t>
            </w:r>
          </w:p>
          <w:p w14:paraId="3AD94D6C">
            <w:pPr>
              <w:spacing w:line="400" w:lineRule="exact"/>
              <w:rPr>
                <w:rFonts w:ascii="宋体" w:hAnsi="宋体" w:cs="宋体"/>
                <w:szCs w:val="21"/>
              </w:rPr>
            </w:pPr>
            <w:r>
              <w:rPr>
                <w:rFonts w:hint="eastAsia" w:ascii="宋体" w:hAnsi="宋体" w:cs="宋体"/>
                <w:szCs w:val="21"/>
              </w:rPr>
              <w:t>（4）拟投入项目人员情况一览表</w:t>
            </w:r>
            <w:r>
              <w:rPr>
                <w:rFonts w:hint="eastAsia" w:ascii="宋体" w:hAnsi="宋体" w:cs="宋体"/>
                <w:b/>
                <w:szCs w:val="21"/>
              </w:rPr>
              <w:t>（必须提供，否则响应文件按无效响应处理）</w:t>
            </w:r>
            <w:r>
              <w:rPr>
                <w:rFonts w:hint="eastAsia" w:ascii="宋体" w:hAnsi="宋体" w:cs="宋体"/>
                <w:szCs w:val="21"/>
              </w:rPr>
              <w:t>；</w:t>
            </w:r>
          </w:p>
          <w:p w14:paraId="4D475815">
            <w:pPr>
              <w:spacing w:line="400" w:lineRule="exact"/>
              <w:rPr>
                <w:rFonts w:ascii="宋体" w:hAnsi="宋体" w:cs="宋体"/>
                <w:b/>
                <w:bCs/>
                <w:szCs w:val="21"/>
              </w:rPr>
            </w:pPr>
            <w:r>
              <w:rPr>
                <w:rFonts w:hint="eastAsia" w:ascii="宋体" w:hAnsi="宋体" w:cs="宋体"/>
                <w:szCs w:val="21"/>
              </w:rPr>
              <w:t>（5）售后服务承诺；（</w:t>
            </w:r>
            <w:r>
              <w:rPr>
                <w:rFonts w:hint="eastAsia" w:ascii="宋体" w:hAnsi="宋体" w:cs="宋体"/>
                <w:b/>
                <w:szCs w:val="21"/>
              </w:rPr>
              <w:t>必须提供，否则响应文件按无效响应处理</w:t>
            </w:r>
            <w:r>
              <w:rPr>
                <w:rFonts w:hint="eastAsia" w:ascii="宋体" w:hAnsi="宋体" w:cs="宋体"/>
                <w:szCs w:val="21"/>
              </w:rPr>
              <w:t>）</w:t>
            </w:r>
          </w:p>
          <w:p w14:paraId="4280B200">
            <w:pPr>
              <w:spacing w:line="400" w:lineRule="exact"/>
              <w:rPr>
                <w:rFonts w:ascii="宋体" w:hAnsi="宋体" w:cs="宋体"/>
                <w:szCs w:val="21"/>
              </w:rPr>
            </w:pPr>
            <w:r>
              <w:rPr>
                <w:rFonts w:hint="eastAsia" w:ascii="宋体" w:hAnsi="宋体" w:cs="宋体"/>
                <w:szCs w:val="21"/>
              </w:rPr>
              <w:t>（6）技术方案</w:t>
            </w:r>
            <w:r>
              <w:rPr>
                <w:rFonts w:hint="eastAsia" w:ascii="宋体" w:hAnsi="宋体" w:cs="宋体"/>
                <w:b/>
                <w:bCs/>
                <w:szCs w:val="21"/>
              </w:rPr>
              <w:t>（</w:t>
            </w:r>
            <w:r>
              <w:rPr>
                <w:rFonts w:hint="eastAsia" w:ascii="宋体" w:hAnsi="宋体" w:cs="宋体"/>
                <w:szCs w:val="21"/>
              </w:rPr>
              <w:t>对应</w:t>
            </w:r>
            <w:r>
              <w:rPr>
                <w:rFonts w:hint="eastAsia"/>
              </w:rPr>
              <w:t>评审标准</w:t>
            </w:r>
            <w:r>
              <w:rPr>
                <w:rFonts w:hint="eastAsia" w:ascii="宋体" w:hAnsi="宋体" w:cs="宋体"/>
                <w:szCs w:val="21"/>
              </w:rPr>
              <w:t>自拟</w:t>
            </w:r>
            <w:r>
              <w:rPr>
                <w:rFonts w:hint="eastAsia" w:ascii="宋体" w:hAnsi="宋体" w:cs="宋体"/>
                <w:b/>
                <w:szCs w:val="21"/>
              </w:rPr>
              <w:t>）</w:t>
            </w:r>
            <w:r>
              <w:rPr>
                <w:rFonts w:hint="eastAsia" w:ascii="宋体" w:hAnsi="宋体" w:cs="宋体"/>
                <w:szCs w:val="21"/>
              </w:rPr>
              <w:t>；</w:t>
            </w:r>
          </w:p>
          <w:p w14:paraId="7F6B88FC">
            <w:pPr>
              <w:pStyle w:val="34"/>
              <w:tabs>
                <w:tab w:val="clear" w:pos="4153"/>
                <w:tab w:val="clear" w:pos="8306"/>
              </w:tabs>
              <w:spacing w:line="400" w:lineRule="exact"/>
              <w:rPr>
                <w:rFonts w:ascii="宋体" w:hAnsi="宋体" w:cs="宋体"/>
                <w:kern w:val="2"/>
                <w:sz w:val="21"/>
                <w:szCs w:val="21"/>
              </w:rPr>
            </w:pPr>
            <w:r>
              <w:rPr>
                <w:rFonts w:hint="eastAsia" w:ascii="宋体" w:hAnsi="宋体" w:cs="宋体"/>
                <w:kern w:val="2"/>
                <w:sz w:val="21"/>
                <w:szCs w:val="21"/>
              </w:rPr>
              <w:t>（7）类似业绩证明材料</w:t>
            </w:r>
            <w:r>
              <w:rPr>
                <w:rFonts w:hint="eastAsia" w:ascii="宋体" w:hAnsi="宋体" w:cs="宋体"/>
                <w:b/>
                <w:bCs/>
                <w:kern w:val="2"/>
                <w:sz w:val="21"/>
                <w:szCs w:val="21"/>
              </w:rPr>
              <w:t>（如有请提供）</w:t>
            </w:r>
            <w:r>
              <w:rPr>
                <w:rFonts w:hint="eastAsia" w:ascii="宋体" w:hAnsi="宋体" w:cs="宋体"/>
                <w:kern w:val="2"/>
                <w:sz w:val="21"/>
                <w:szCs w:val="21"/>
              </w:rPr>
              <w:t>；</w:t>
            </w:r>
          </w:p>
          <w:p w14:paraId="058E5833">
            <w:pPr>
              <w:pStyle w:val="34"/>
              <w:tabs>
                <w:tab w:val="clear" w:pos="4153"/>
                <w:tab w:val="clear" w:pos="8306"/>
              </w:tabs>
              <w:spacing w:line="400" w:lineRule="exact"/>
              <w:rPr>
                <w:rFonts w:ascii="宋体" w:hAnsi="宋体" w:cs="宋体"/>
                <w:kern w:val="2"/>
                <w:sz w:val="21"/>
                <w:szCs w:val="21"/>
              </w:rPr>
            </w:pPr>
            <w:r>
              <w:rPr>
                <w:rFonts w:hint="eastAsia" w:ascii="宋体" w:hAnsi="宋体" w:cs="宋体"/>
                <w:kern w:val="2"/>
                <w:sz w:val="21"/>
                <w:szCs w:val="21"/>
              </w:rPr>
              <w:t>（8）获奖证书</w:t>
            </w:r>
            <w:r>
              <w:rPr>
                <w:rFonts w:hint="eastAsia" w:ascii="宋体" w:hAnsi="宋体" w:cs="宋体"/>
                <w:b/>
                <w:bCs/>
                <w:kern w:val="2"/>
                <w:sz w:val="21"/>
                <w:szCs w:val="21"/>
              </w:rPr>
              <w:t>（如有请提供）</w:t>
            </w:r>
            <w:r>
              <w:rPr>
                <w:rFonts w:hint="eastAsia" w:ascii="宋体" w:hAnsi="宋体" w:cs="宋体"/>
                <w:kern w:val="2"/>
                <w:sz w:val="21"/>
                <w:szCs w:val="21"/>
              </w:rPr>
              <w:t>；</w:t>
            </w:r>
          </w:p>
          <w:p w14:paraId="01BD6195">
            <w:pPr>
              <w:pStyle w:val="34"/>
              <w:tabs>
                <w:tab w:val="clear" w:pos="4153"/>
                <w:tab w:val="clear" w:pos="8306"/>
              </w:tabs>
              <w:spacing w:line="400" w:lineRule="exact"/>
              <w:rPr>
                <w:rFonts w:ascii="宋体" w:hAnsi="宋体" w:cs="宋体"/>
                <w:kern w:val="2"/>
                <w:sz w:val="21"/>
                <w:szCs w:val="21"/>
              </w:rPr>
            </w:pPr>
            <w:r>
              <w:rPr>
                <w:rFonts w:hint="eastAsia" w:ascii="宋体" w:hAnsi="宋体" w:cs="宋体"/>
                <w:kern w:val="2"/>
                <w:sz w:val="21"/>
                <w:szCs w:val="21"/>
              </w:rPr>
              <w:t>（9）监狱企业证明：提供由省级以上监狱管理局、戒毒管理局（含新疆生产建设兵团）出具的属于监狱企业的证明文件</w:t>
            </w:r>
            <w:r>
              <w:rPr>
                <w:rFonts w:hint="eastAsia" w:ascii="宋体" w:hAnsi="宋体" w:cs="宋体"/>
                <w:b/>
                <w:bCs/>
                <w:kern w:val="2"/>
                <w:sz w:val="21"/>
                <w:szCs w:val="21"/>
              </w:rPr>
              <w:t>（如是请提供</w:t>
            </w:r>
            <w:r>
              <w:rPr>
                <w:rFonts w:hint="eastAsia" w:ascii="宋体" w:hAnsi="宋体" w:cs="宋体"/>
                <w:kern w:val="2"/>
                <w:sz w:val="21"/>
                <w:szCs w:val="21"/>
              </w:rPr>
              <w:t>）；</w:t>
            </w:r>
          </w:p>
          <w:p w14:paraId="099DBD41">
            <w:pPr>
              <w:pStyle w:val="34"/>
              <w:tabs>
                <w:tab w:val="clear" w:pos="4153"/>
                <w:tab w:val="clear" w:pos="8306"/>
              </w:tabs>
              <w:spacing w:line="400" w:lineRule="exact"/>
              <w:rPr>
                <w:rFonts w:ascii="宋体" w:hAnsi="宋体" w:cs="宋体"/>
                <w:kern w:val="2"/>
                <w:sz w:val="21"/>
                <w:szCs w:val="21"/>
              </w:rPr>
            </w:pPr>
            <w:r>
              <w:rPr>
                <w:rFonts w:hint="eastAsia" w:ascii="宋体" w:hAnsi="宋体" w:cs="宋体"/>
                <w:kern w:val="2"/>
                <w:sz w:val="21"/>
                <w:szCs w:val="21"/>
              </w:rPr>
              <w:t>（10）残疾人福利性单位声明函：按第五章“残疾人福利性单位声明函（格式）”的要求填写</w:t>
            </w:r>
            <w:r>
              <w:rPr>
                <w:rFonts w:hint="eastAsia" w:ascii="宋体" w:hAnsi="宋体" w:cs="宋体"/>
                <w:b/>
                <w:bCs/>
                <w:kern w:val="2"/>
                <w:sz w:val="21"/>
                <w:szCs w:val="21"/>
              </w:rPr>
              <w:t>（如是请提供</w:t>
            </w:r>
            <w:r>
              <w:rPr>
                <w:rFonts w:hint="eastAsia" w:ascii="宋体" w:hAnsi="宋体" w:cs="宋体"/>
                <w:kern w:val="2"/>
                <w:sz w:val="21"/>
                <w:szCs w:val="21"/>
              </w:rPr>
              <w:t>）；</w:t>
            </w:r>
          </w:p>
          <w:p w14:paraId="7D99E3DA">
            <w:pPr>
              <w:pStyle w:val="34"/>
              <w:tabs>
                <w:tab w:val="clear" w:pos="4153"/>
                <w:tab w:val="clear" w:pos="8306"/>
              </w:tabs>
              <w:spacing w:line="400" w:lineRule="exact"/>
              <w:rPr>
                <w:rFonts w:ascii="宋体" w:hAnsi="宋体" w:cs="宋体"/>
                <w:szCs w:val="21"/>
              </w:rPr>
            </w:pPr>
            <w:r>
              <w:rPr>
                <w:rFonts w:hint="eastAsia" w:ascii="宋体" w:hAnsi="宋体" w:cs="宋体"/>
                <w:kern w:val="2"/>
                <w:sz w:val="21"/>
                <w:szCs w:val="21"/>
              </w:rPr>
              <w:t>（11）供应商认为需要提供的有关资料</w:t>
            </w:r>
            <w:r>
              <w:rPr>
                <w:rFonts w:hint="eastAsia" w:ascii="宋体" w:hAnsi="宋体" w:cs="宋体"/>
                <w:b/>
                <w:bCs/>
                <w:kern w:val="2"/>
                <w:sz w:val="21"/>
                <w:szCs w:val="21"/>
              </w:rPr>
              <w:t>（如有请提供）</w:t>
            </w:r>
            <w:r>
              <w:rPr>
                <w:rFonts w:hint="eastAsia" w:ascii="宋体" w:hAnsi="宋体" w:cs="宋体"/>
                <w:kern w:val="2"/>
                <w:sz w:val="21"/>
                <w:szCs w:val="21"/>
              </w:rPr>
              <w:t>。</w:t>
            </w:r>
          </w:p>
        </w:tc>
      </w:tr>
      <w:tr w14:paraId="52F87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392B64B4">
            <w:pPr>
              <w:numPr>
                <w:ilvl w:val="0"/>
                <w:numId w:val="7"/>
              </w:numPr>
              <w:spacing w:line="400" w:lineRule="exact"/>
              <w:ind w:hanging="269"/>
              <w:rPr>
                <w:rFonts w:ascii="宋体" w:hAnsi="宋体" w:cs="宋体"/>
                <w:szCs w:val="21"/>
              </w:rPr>
            </w:pPr>
            <w:r>
              <w:rPr>
                <w:rFonts w:hint="eastAsia" w:ascii="宋体" w:hAnsi="宋体" w:cs="宋体"/>
                <w:szCs w:val="21"/>
              </w:rPr>
              <w:t>6</w:t>
            </w:r>
          </w:p>
        </w:tc>
        <w:tc>
          <w:tcPr>
            <w:tcW w:w="888" w:type="dxa"/>
            <w:vAlign w:val="center"/>
          </w:tcPr>
          <w:p w14:paraId="27DC9E19">
            <w:pPr>
              <w:spacing w:line="400" w:lineRule="exact"/>
              <w:jc w:val="center"/>
              <w:rPr>
                <w:rFonts w:ascii="宋体" w:hAnsi="宋体" w:cs="宋体"/>
                <w:szCs w:val="21"/>
              </w:rPr>
            </w:pPr>
            <w:r>
              <w:rPr>
                <w:rFonts w:hint="eastAsia" w:ascii="宋体" w:hAnsi="宋体" w:cs="宋体"/>
                <w:szCs w:val="21"/>
              </w:rPr>
              <w:t>8.7</w:t>
            </w:r>
          </w:p>
        </w:tc>
        <w:tc>
          <w:tcPr>
            <w:tcW w:w="7512" w:type="dxa"/>
            <w:vAlign w:val="center"/>
          </w:tcPr>
          <w:p w14:paraId="01B58921">
            <w:pPr>
              <w:tabs>
                <w:tab w:val="left" w:pos="525"/>
              </w:tabs>
              <w:spacing w:line="400" w:lineRule="exact"/>
              <w:jc w:val="left"/>
              <w:rPr>
                <w:rFonts w:ascii="宋体" w:hAnsi="宋体" w:cs="宋体"/>
                <w:szCs w:val="21"/>
              </w:rPr>
            </w:pPr>
            <w:r>
              <w:rPr>
                <w:rFonts w:hint="eastAsia" w:ascii="宋体" w:hAnsi="宋体" w:cs="宋体"/>
                <w:szCs w:val="21"/>
              </w:rPr>
              <w:t>响应文件有效期：自响应文件提交截止之日起至采购合同签订之日止。</w:t>
            </w:r>
          </w:p>
          <w:p w14:paraId="38AD9F80">
            <w:pPr>
              <w:pStyle w:val="17"/>
              <w:widowControl w:val="0"/>
              <w:tabs>
                <w:tab w:val="clear" w:pos="454"/>
                <w:tab w:val="clear" w:pos="720"/>
                <w:tab w:val="clear" w:pos="840"/>
              </w:tabs>
              <w:spacing w:line="400" w:lineRule="exact"/>
              <w:ind w:left="0" w:firstLine="420" w:firstLineChars="200"/>
              <w:rPr>
                <w:rFonts w:ascii="宋体" w:hAnsi="宋体" w:cs="宋体"/>
                <w:kern w:val="2"/>
                <w:sz w:val="21"/>
                <w:szCs w:val="21"/>
              </w:rPr>
            </w:pPr>
            <w:r>
              <w:rPr>
                <w:rFonts w:hint="eastAsia" w:ascii="宋体" w:hAnsi="宋体" w:cs="宋体"/>
                <w:kern w:val="2"/>
                <w:sz w:val="21"/>
                <w:szCs w:val="21"/>
              </w:rPr>
              <w:t>1</w:t>
            </w:r>
            <w:r>
              <w:rPr>
                <w:rFonts w:hint="eastAsia" w:ascii="宋体" w:hAnsi="宋体" w:cs="宋体"/>
                <w:szCs w:val="21"/>
              </w:rPr>
              <w:t>．</w:t>
            </w:r>
            <w:r>
              <w:rPr>
                <w:rFonts w:hint="eastAsia" w:ascii="宋体" w:hAnsi="宋体" w:cs="宋体"/>
                <w:kern w:val="2"/>
                <w:sz w:val="21"/>
                <w:szCs w:val="21"/>
              </w:rPr>
              <w:t>未成交的响应文件在响应文件有效期内均应保持有效。</w:t>
            </w:r>
          </w:p>
          <w:p w14:paraId="57A5CBDE">
            <w:pPr>
              <w:pStyle w:val="17"/>
              <w:widowControl w:val="0"/>
              <w:tabs>
                <w:tab w:val="clear" w:pos="454"/>
                <w:tab w:val="clear" w:pos="720"/>
                <w:tab w:val="clear" w:pos="840"/>
              </w:tabs>
              <w:spacing w:line="400" w:lineRule="exact"/>
              <w:ind w:left="0" w:firstLine="420" w:firstLineChars="200"/>
              <w:rPr>
                <w:rFonts w:ascii="宋体" w:hAnsi="宋体" w:cs="宋体"/>
                <w:szCs w:val="21"/>
              </w:rPr>
            </w:pPr>
            <w:r>
              <w:rPr>
                <w:rFonts w:hint="eastAsia" w:ascii="宋体" w:hAnsi="宋体" w:cs="宋体"/>
                <w:kern w:val="2"/>
                <w:sz w:val="21"/>
                <w:szCs w:val="21"/>
              </w:rPr>
              <w:t>2</w:t>
            </w:r>
            <w:r>
              <w:rPr>
                <w:rFonts w:hint="eastAsia" w:ascii="宋体" w:hAnsi="宋体" w:cs="宋体"/>
                <w:szCs w:val="21"/>
              </w:rPr>
              <w:t>．</w:t>
            </w:r>
            <w:r>
              <w:rPr>
                <w:rFonts w:hint="eastAsia" w:ascii="宋体" w:hAnsi="宋体" w:cs="宋体"/>
                <w:kern w:val="2"/>
                <w:sz w:val="21"/>
                <w:szCs w:val="21"/>
              </w:rPr>
              <w:t>成交供应商的响应文件有效期自响应文件提交截止之日起至合同全部义务履行完毕之日止均应保持有效。</w:t>
            </w:r>
          </w:p>
        </w:tc>
      </w:tr>
      <w:tr w14:paraId="745D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62EEBEF3">
            <w:pPr>
              <w:numPr>
                <w:ilvl w:val="0"/>
                <w:numId w:val="7"/>
              </w:numPr>
              <w:spacing w:line="400" w:lineRule="exact"/>
              <w:ind w:hanging="269"/>
              <w:rPr>
                <w:rFonts w:ascii="宋体" w:hAnsi="宋体" w:cs="宋体"/>
                <w:szCs w:val="21"/>
              </w:rPr>
            </w:pPr>
            <w:r>
              <w:rPr>
                <w:rFonts w:hint="eastAsia" w:ascii="宋体" w:hAnsi="宋体" w:cs="宋体"/>
                <w:szCs w:val="21"/>
              </w:rPr>
              <w:t>7</w:t>
            </w:r>
          </w:p>
        </w:tc>
        <w:tc>
          <w:tcPr>
            <w:tcW w:w="888" w:type="dxa"/>
            <w:vAlign w:val="center"/>
          </w:tcPr>
          <w:p w14:paraId="26A8C579">
            <w:pPr>
              <w:spacing w:line="400" w:lineRule="exact"/>
              <w:jc w:val="center"/>
              <w:rPr>
                <w:rFonts w:ascii="宋体" w:hAnsi="宋体" w:cs="宋体"/>
                <w:szCs w:val="21"/>
              </w:rPr>
            </w:pPr>
            <w:r>
              <w:rPr>
                <w:rFonts w:hint="eastAsia" w:ascii="宋体" w:hAnsi="宋体" w:cs="宋体"/>
                <w:szCs w:val="21"/>
              </w:rPr>
              <w:t>11</w:t>
            </w:r>
          </w:p>
        </w:tc>
        <w:tc>
          <w:tcPr>
            <w:tcW w:w="7512" w:type="dxa"/>
            <w:vAlign w:val="center"/>
          </w:tcPr>
          <w:p w14:paraId="69D78985">
            <w:pPr>
              <w:spacing w:line="400" w:lineRule="exact"/>
              <w:ind w:firstLine="457" w:firstLineChars="218"/>
            </w:pPr>
            <w:r>
              <w:rPr>
                <w:rFonts w:hint="eastAsia"/>
              </w:rPr>
              <w:t>磋商保证金金额：应按《第一章竞争性磋商公告》第七条规定交纳，否则，其响应文件按无效响应处理。</w:t>
            </w:r>
          </w:p>
          <w:p w14:paraId="23509989">
            <w:pPr>
              <w:spacing w:line="400" w:lineRule="exact"/>
              <w:ind w:firstLine="457" w:firstLineChars="218"/>
            </w:pPr>
            <w:r>
              <w:rPr>
                <w:rFonts w:hint="eastAsia"/>
              </w:rPr>
              <w:t>磋商保证金应在响应文件有效期内保持有效。</w:t>
            </w:r>
          </w:p>
          <w:p w14:paraId="6C8D14BF">
            <w:pPr>
              <w:spacing w:line="400" w:lineRule="exact"/>
              <w:ind w:firstLine="457" w:firstLineChars="218"/>
            </w:pPr>
            <w:r>
              <w:rPr>
                <w:rFonts w:hint="eastAsia"/>
              </w:rPr>
              <w:t>磋商保证金交纳方式：以电汇、转帐、网上银行支付、保函等非现金形式于响应文件递交截止时间前，磋商保证金必须从供应商银行账户转出并到达指定银行账户。本项目不接受现金形式或从个人账户转出的磋商保证金。未按磋商文件要求提交磋商保证金的，其响应文件按无效响应处理。</w:t>
            </w:r>
          </w:p>
          <w:p w14:paraId="255A427C">
            <w:pPr>
              <w:spacing w:line="400" w:lineRule="exact"/>
              <w:ind w:firstLine="457" w:firstLineChars="218"/>
            </w:pPr>
            <w:r>
              <w:rPr>
                <w:rFonts w:hint="eastAsia"/>
              </w:rPr>
              <w:t>开户名称：广西正海招标有限公司</w:t>
            </w:r>
          </w:p>
          <w:p w14:paraId="26A8AEB5">
            <w:pPr>
              <w:spacing w:line="400" w:lineRule="exact"/>
              <w:ind w:firstLine="457" w:firstLineChars="218"/>
            </w:pPr>
            <w:r>
              <w:rPr>
                <w:rFonts w:hint="eastAsia"/>
              </w:rPr>
              <w:t>开户银行：广西北部湾银行南宁市兴宁支行</w:t>
            </w:r>
          </w:p>
          <w:p w14:paraId="4547575B">
            <w:pPr>
              <w:spacing w:line="400" w:lineRule="exact"/>
              <w:ind w:firstLine="457" w:firstLineChars="218"/>
            </w:pPr>
            <w:r>
              <w:rPr>
                <w:rFonts w:hint="eastAsia"/>
              </w:rPr>
              <w:t>银行账号：800105504300012。</w:t>
            </w:r>
          </w:p>
          <w:p w14:paraId="7C7786FE">
            <w:pPr>
              <w:spacing w:line="400" w:lineRule="exact"/>
            </w:pPr>
            <w:r>
              <w:rPr>
                <w:rFonts w:hint="eastAsia"/>
              </w:rPr>
              <w:t>注：1</w:t>
            </w:r>
            <w:r>
              <w:rPr>
                <w:rFonts w:hint="eastAsia" w:ascii="宋体" w:hAnsi="宋体" w:cs="宋体"/>
                <w:szCs w:val="21"/>
              </w:rPr>
              <w:t>．</w:t>
            </w:r>
            <w:r>
              <w:rPr>
                <w:rFonts w:hint="eastAsia"/>
              </w:rPr>
              <w:t>磋商保证金的退还均以转账形式退回到供应商原付款银行账户。</w:t>
            </w:r>
          </w:p>
          <w:p w14:paraId="3D09A447">
            <w:pPr>
              <w:spacing w:line="400" w:lineRule="exact"/>
              <w:ind w:firstLine="457" w:firstLineChars="218"/>
            </w:pPr>
            <w:r>
              <w:rPr>
                <w:rFonts w:hint="eastAsia"/>
              </w:rPr>
              <w:t>1.1未成交供应商的磋商保证金在成交通知书发出后五个工作日内退还。</w:t>
            </w:r>
          </w:p>
          <w:p w14:paraId="20BD645C">
            <w:pPr>
              <w:spacing w:line="400" w:lineRule="exact"/>
              <w:ind w:firstLine="457" w:firstLineChars="218"/>
            </w:pPr>
            <w:r>
              <w:rPr>
                <w:rFonts w:hint="eastAsia"/>
              </w:rPr>
              <w:t>1.2成交供应商的磋商保证金在成交供应商与采购人签订合同并送合同给代理机构存档后五个工作日内退还。</w:t>
            </w:r>
          </w:p>
          <w:p w14:paraId="4B7A571B">
            <w:pPr>
              <w:spacing w:line="400" w:lineRule="exact"/>
              <w:rPr>
                <w:rFonts w:ascii="宋体" w:hAnsi="宋体"/>
                <w:szCs w:val="21"/>
              </w:rPr>
            </w:pPr>
            <w:r>
              <w:rPr>
                <w:rFonts w:hint="eastAsia" w:ascii="宋体" w:hAnsi="宋体"/>
                <w:szCs w:val="21"/>
              </w:rPr>
              <w:t>磋商保证金采用支票、汇票、本票或者银行、保险机构出具的保函交纳方式的，供应商应将支票、汇票、本票或者银行、保险机构出具的保函的复印件作为磋商保证金提交凭证，放置于商务文件中，</w:t>
            </w:r>
            <w:r>
              <w:rPr>
                <w:rFonts w:hint="eastAsia" w:ascii="宋体" w:hAnsi="宋体"/>
                <w:b/>
                <w:szCs w:val="21"/>
              </w:rPr>
              <w:t>否则响应文件无效</w:t>
            </w:r>
            <w:r>
              <w:rPr>
                <w:rFonts w:hint="eastAsia" w:ascii="宋体" w:hAnsi="宋体"/>
                <w:szCs w:val="21"/>
              </w:rPr>
              <w:t>。供应商必须在响应文件递交截止时间前采用现场递的方式（</w:t>
            </w:r>
            <w:r>
              <w:rPr>
                <w:rFonts w:hint="eastAsia" w:ascii="宋体" w:hAnsi="宋体"/>
                <w:szCs w:val="21"/>
                <w:u w:val="single"/>
              </w:rPr>
              <w:t>地址：</w:t>
            </w:r>
            <w:r>
              <w:rPr>
                <w:rFonts w:hint="eastAsia" w:ascii="宋体" w:hAnsi="宋体"/>
                <w:b/>
                <w:bCs/>
                <w:szCs w:val="21"/>
                <w:u w:val="single"/>
              </w:rPr>
              <w:t>南宁市青秀区茅桥路2号习艺基地A栋1号电梯3楼广西正海招标有限公司</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支票、汇票、本票或者银行、保险机构出具的保函原件提交给采购人或者采购代理机构，并妥善保管。</w:t>
            </w:r>
          </w:p>
          <w:p w14:paraId="44965A24">
            <w:pPr>
              <w:spacing w:line="400" w:lineRule="exact"/>
              <w:rPr>
                <w:rFonts w:ascii="宋体" w:hAnsi="宋体"/>
                <w:szCs w:val="21"/>
              </w:rPr>
            </w:pPr>
            <w:r>
              <w:rPr>
                <w:rFonts w:hint="eastAsia" w:ascii="宋体" w:hAnsi="宋体"/>
                <w:szCs w:val="21"/>
              </w:rPr>
              <w:t>（1）支票、汇票或者本票出现无效或者背书情形的，视为无效磋商保证金。</w:t>
            </w:r>
          </w:p>
          <w:p w14:paraId="7F8C8D14">
            <w:pPr>
              <w:spacing w:line="400" w:lineRule="exact"/>
              <w:rPr>
                <w:rFonts w:ascii="宋体" w:hAnsi="宋体"/>
                <w:szCs w:val="21"/>
              </w:rPr>
            </w:pPr>
            <w:r>
              <w:rPr>
                <w:rFonts w:hint="eastAsia" w:ascii="宋体" w:hAnsi="宋体"/>
                <w:szCs w:val="21"/>
              </w:rPr>
              <w:t>（2）保函有效期低于磋商有效期的，视为无效磋商保证金。</w:t>
            </w:r>
          </w:p>
          <w:p w14:paraId="5AE596E7">
            <w:pPr>
              <w:spacing w:line="400" w:lineRule="exact"/>
            </w:pPr>
            <w:r>
              <w:rPr>
                <w:rFonts w:hint="eastAsia" w:ascii="宋体" w:hAnsi="宋体"/>
                <w:szCs w:val="21"/>
              </w:rPr>
              <w:t>（3）采用银行、保险机构出具保函的，必须为无条件保函，否则视为无效磋商保证金。</w:t>
            </w:r>
          </w:p>
        </w:tc>
      </w:tr>
      <w:tr w14:paraId="70F5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2" w:type="dxa"/>
            <w:vAlign w:val="center"/>
          </w:tcPr>
          <w:p w14:paraId="6E336646">
            <w:pPr>
              <w:numPr>
                <w:ilvl w:val="0"/>
                <w:numId w:val="7"/>
              </w:numPr>
              <w:spacing w:line="400" w:lineRule="exact"/>
              <w:ind w:hanging="269"/>
              <w:rPr>
                <w:rFonts w:ascii="宋体" w:hAnsi="宋体" w:cs="宋体"/>
                <w:szCs w:val="21"/>
              </w:rPr>
            </w:pPr>
            <w:r>
              <w:rPr>
                <w:rFonts w:hint="eastAsia" w:ascii="宋体" w:hAnsi="宋体" w:cs="宋体"/>
                <w:szCs w:val="21"/>
              </w:rPr>
              <w:t>8</w:t>
            </w:r>
          </w:p>
        </w:tc>
        <w:tc>
          <w:tcPr>
            <w:tcW w:w="888" w:type="dxa"/>
            <w:vAlign w:val="center"/>
          </w:tcPr>
          <w:p w14:paraId="074F4AF8">
            <w:pPr>
              <w:spacing w:line="400" w:lineRule="exact"/>
              <w:jc w:val="center"/>
              <w:rPr>
                <w:rFonts w:ascii="宋体" w:hAnsi="宋体" w:cs="宋体"/>
                <w:szCs w:val="21"/>
              </w:rPr>
            </w:pPr>
            <w:r>
              <w:rPr>
                <w:rFonts w:hint="eastAsia" w:ascii="宋体" w:hAnsi="宋体" w:cs="宋体"/>
                <w:szCs w:val="21"/>
              </w:rPr>
              <w:t>12.1</w:t>
            </w:r>
          </w:p>
        </w:tc>
        <w:tc>
          <w:tcPr>
            <w:tcW w:w="7512" w:type="dxa"/>
            <w:vAlign w:val="center"/>
          </w:tcPr>
          <w:p w14:paraId="505B69DB">
            <w:pPr>
              <w:tabs>
                <w:tab w:val="left" w:pos="525"/>
              </w:tabs>
              <w:spacing w:line="400" w:lineRule="exact"/>
              <w:jc w:val="left"/>
              <w:rPr>
                <w:rFonts w:ascii="宋体" w:hAnsi="宋体" w:cs="宋体"/>
                <w:szCs w:val="21"/>
              </w:rPr>
            </w:pPr>
            <w:r>
              <w:rPr>
                <w:rFonts w:hint="eastAsia" w:ascii="宋体" w:hAnsi="宋体" w:cs="宋体"/>
                <w:szCs w:val="21"/>
              </w:rPr>
              <w:t>磋商报价：供应商必须就所磋商项目的全部内容作完整唯一报价，漏项报价的或有选择的或有条件的报价，其磋商报价将视为无效。</w:t>
            </w:r>
          </w:p>
        </w:tc>
      </w:tr>
      <w:tr w14:paraId="3485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7E2C4C0A">
            <w:pPr>
              <w:numPr>
                <w:ilvl w:val="0"/>
                <w:numId w:val="7"/>
              </w:numPr>
              <w:spacing w:line="400" w:lineRule="exact"/>
              <w:ind w:hanging="269"/>
              <w:rPr>
                <w:rFonts w:ascii="宋体" w:hAnsi="宋体" w:cs="宋体"/>
                <w:szCs w:val="21"/>
              </w:rPr>
            </w:pPr>
            <w:r>
              <w:rPr>
                <w:rFonts w:hint="eastAsia" w:ascii="宋体" w:hAnsi="宋体" w:cs="宋体"/>
                <w:szCs w:val="21"/>
              </w:rPr>
              <w:t>9</w:t>
            </w:r>
          </w:p>
        </w:tc>
        <w:tc>
          <w:tcPr>
            <w:tcW w:w="888" w:type="dxa"/>
            <w:vAlign w:val="center"/>
          </w:tcPr>
          <w:p w14:paraId="697B79BA">
            <w:pPr>
              <w:spacing w:line="400" w:lineRule="exact"/>
              <w:jc w:val="center"/>
              <w:rPr>
                <w:rFonts w:ascii="宋体" w:hAnsi="宋体" w:cs="宋体"/>
                <w:szCs w:val="21"/>
              </w:rPr>
            </w:pPr>
            <w:r>
              <w:rPr>
                <w:rFonts w:hint="eastAsia" w:ascii="宋体" w:hAnsi="宋体" w:cs="宋体"/>
                <w:szCs w:val="21"/>
              </w:rPr>
              <w:t>13.1.1</w:t>
            </w:r>
          </w:p>
        </w:tc>
        <w:tc>
          <w:tcPr>
            <w:tcW w:w="7512" w:type="dxa"/>
            <w:vAlign w:val="center"/>
          </w:tcPr>
          <w:p w14:paraId="6AA85597">
            <w:pPr>
              <w:spacing w:line="400" w:lineRule="exact"/>
              <w:rPr>
                <w:rFonts w:ascii="宋体" w:hAnsi="宋体" w:cs="宋体"/>
                <w:szCs w:val="21"/>
              </w:rPr>
            </w:pPr>
            <w:r>
              <w:rPr>
                <w:rFonts w:hint="eastAsia" w:ascii="宋体" w:hAnsi="宋体" w:cs="宋体"/>
                <w:szCs w:val="21"/>
              </w:rPr>
              <w:t>响应文件份数：正本一份、副本三份（正本与副本不一致的，以正本为准）。即：“价格文件、商务技术文件合并装订成一本”：正本一份，副本三份。</w:t>
            </w:r>
          </w:p>
        </w:tc>
      </w:tr>
      <w:tr w14:paraId="36031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594F9E6B">
            <w:pPr>
              <w:spacing w:line="400" w:lineRule="exact"/>
              <w:ind w:left="-5"/>
              <w:rPr>
                <w:rFonts w:ascii="宋体" w:hAnsi="宋体" w:cs="宋体"/>
                <w:szCs w:val="21"/>
              </w:rPr>
            </w:pPr>
            <w:r>
              <w:rPr>
                <w:rFonts w:hint="eastAsia" w:ascii="宋体" w:hAnsi="宋体" w:cs="宋体"/>
                <w:szCs w:val="21"/>
              </w:rPr>
              <w:t>10</w:t>
            </w:r>
          </w:p>
        </w:tc>
        <w:tc>
          <w:tcPr>
            <w:tcW w:w="888" w:type="dxa"/>
            <w:vAlign w:val="center"/>
          </w:tcPr>
          <w:p w14:paraId="30BCCDAF">
            <w:pPr>
              <w:spacing w:line="400" w:lineRule="exact"/>
              <w:jc w:val="center"/>
              <w:rPr>
                <w:rFonts w:ascii="宋体" w:hAnsi="宋体" w:cs="宋体"/>
                <w:szCs w:val="21"/>
              </w:rPr>
            </w:pPr>
            <w:r>
              <w:rPr>
                <w:rFonts w:hint="eastAsia" w:ascii="宋体" w:hAnsi="宋体" w:cs="宋体"/>
                <w:szCs w:val="21"/>
              </w:rPr>
              <w:t>13.2</w:t>
            </w:r>
          </w:p>
        </w:tc>
        <w:tc>
          <w:tcPr>
            <w:tcW w:w="7512" w:type="dxa"/>
            <w:vAlign w:val="center"/>
          </w:tcPr>
          <w:p w14:paraId="35817ED0">
            <w:pPr>
              <w:spacing w:line="400" w:lineRule="exact"/>
              <w:rPr>
                <w:rFonts w:ascii="宋体" w:hAnsi="宋体" w:cs="宋体"/>
                <w:szCs w:val="21"/>
              </w:rPr>
            </w:pPr>
            <w:r>
              <w:rPr>
                <w:rFonts w:hint="eastAsia" w:ascii="宋体" w:hAnsi="宋体" w:cs="宋体"/>
                <w:szCs w:val="21"/>
              </w:rPr>
              <w:t>响应文件递交时间：详见竞争性磋商公告</w:t>
            </w:r>
          </w:p>
          <w:p w14:paraId="53DA579B">
            <w:pPr>
              <w:spacing w:line="400" w:lineRule="exact"/>
              <w:rPr>
                <w:rFonts w:ascii="宋体" w:hAnsi="宋体" w:cs="宋体"/>
                <w:szCs w:val="21"/>
              </w:rPr>
            </w:pPr>
            <w:r>
              <w:rPr>
                <w:rFonts w:hint="eastAsia" w:ascii="宋体" w:hAnsi="宋体" w:cs="宋体"/>
                <w:szCs w:val="21"/>
              </w:rPr>
              <w:t>响应文件递交截止时间：详见竞争性磋商公告，逾期送达的响应文件将予以拒收。</w:t>
            </w:r>
          </w:p>
          <w:p w14:paraId="2AA6E6B0">
            <w:pPr>
              <w:spacing w:line="400" w:lineRule="exact"/>
              <w:rPr>
                <w:rFonts w:ascii="宋体" w:hAnsi="宋体" w:cs="宋体"/>
                <w:szCs w:val="21"/>
              </w:rPr>
            </w:pPr>
            <w:r>
              <w:rPr>
                <w:rFonts w:hint="eastAsia" w:ascii="宋体" w:hAnsi="宋体" w:cs="宋体"/>
                <w:szCs w:val="21"/>
              </w:rPr>
              <w:t>响应文件递交地点：广西正海招标有限公司开标厅(广西南宁市青秀区茅桥路2号习艺基地A栋1号电梯3楼)。</w:t>
            </w:r>
          </w:p>
        </w:tc>
      </w:tr>
      <w:tr w14:paraId="18DFB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656881FB">
            <w:pPr>
              <w:spacing w:line="400" w:lineRule="exact"/>
              <w:rPr>
                <w:rFonts w:ascii="宋体" w:hAnsi="宋体" w:cs="宋体"/>
                <w:szCs w:val="21"/>
              </w:rPr>
            </w:pPr>
            <w:r>
              <w:rPr>
                <w:rFonts w:hint="eastAsia" w:ascii="宋体" w:hAnsi="宋体" w:cs="宋体"/>
                <w:szCs w:val="21"/>
              </w:rPr>
              <w:t>11</w:t>
            </w:r>
          </w:p>
        </w:tc>
        <w:tc>
          <w:tcPr>
            <w:tcW w:w="888" w:type="dxa"/>
            <w:vAlign w:val="center"/>
          </w:tcPr>
          <w:p w14:paraId="09C216C6">
            <w:pPr>
              <w:spacing w:line="400" w:lineRule="exact"/>
              <w:jc w:val="center"/>
              <w:rPr>
                <w:rFonts w:ascii="宋体" w:hAnsi="宋体" w:cs="宋体"/>
                <w:szCs w:val="21"/>
              </w:rPr>
            </w:pPr>
          </w:p>
        </w:tc>
        <w:tc>
          <w:tcPr>
            <w:tcW w:w="7512" w:type="dxa"/>
            <w:vAlign w:val="center"/>
          </w:tcPr>
          <w:p w14:paraId="36F7853C">
            <w:pPr>
              <w:spacing w:line="400" w:lineRule="exact"/>
              <w:rPr>
                <w:rFonts w:ascii="宋体" w:hAnsi="宋体" w:cs="宋体"/>
                <w:szCs w:val="21"/>
              </w:rPr>
            </w:pPr>
            <w:r>
              <w:rPr>
                <w:rFonts w:hint="eastAsia" w:ascii="宋体" w:hAnsi="宋体" w:cs="宋体"/>
                <w:szCs w:val="21"/>
              </w:rPr>
              <w:t>由采购代理机构对供应商进行信用查询并将查询结果提供给磋商小组进行资格审查。</w:t>
            </w:r>
          </w:p>
          <w:p w14:paraId="3FF7293F">
            <w:pPr>
              <w:spacing w:line="400" w:lineRule="exact"/>
              <w:rPr>
                <w:rFonts w:ascii="宋体" w:hAnsi="宋体" w:cs="宋体"/>
              </w:rPr>
            </w:pPr>
            <w:r>
              <w:rPr>
                <w:rFonts w:hint="eastAsia" w:ascii="宋体" w:hAnsi="宋体" w:cs="宋体"/>
              </w:rPr>
              <w:t>查询渠道：“信用中国”网站(www.creditchina.gov.cn)、中国政府采购网(</w:t>
            </w:r>
            <w:r>
              <w:fldChar w:fldCharType="begin"/>
            </w:r>
            <w:r>
              <w:instrText xml:space="preserve"> HYPERLINK "http://www.ccgp.gov.cn" </w:instrText>
            </w:r>
            <w:r>
              <w:fldChar w:fldCharType="separate"/>
            </w:r>
            <w:r>
              <w:rPr>
                <w:rStyle w:val="64"/>
                <w:rFonts w:hint="eastAsia" w:ascii="宋体" w:hAnsi="宋体" w:cs="宋体"/>
                <w:color w:val="auto"/>
              </w:rPr>
              <w:t>www.ccgp.gov.cn</w:t>
            </w:r>
            <w:r>
              <w:rPr>
                <w:rStyle w:val="64"/>
                <w:rFonts w:hint="eastAsia" w:ascii="宋体" w:hAnsi="宋体" w:cs="宋体"/>
                <w:color w:val="auto"/>
              </w:rPr>
              <w:fldChar w:fldCharType="end"/>
            </w:r>
            <w:r>
              <w:rPr>
                <w:rFonts w:hint="eastAsia" w:ascii="宋体" w:hAnsi="宋体" w:cs="宋体"/>
              </w:rPr>
              <w:t>)等。</w:t>
            </w:r>
          </w:p>
          <w:p w14:paraId="6F5CDA7C">
            <w:pPr>
              <w:spacing w:line="400" w:lineRule="exact"/>
              <w:rPr>
                <w:rFonts w:ascii="宋体" w:hAnsi="宋体" w:cs="宋体"/>
              </w:rPr>
            </w:pPr>
            <w:r>
              <w:rPr>
                <w:rFonts w:hint="eastAsia" w:ascii="宋体" w:hAnsi="宋体" w:cs="宋体"/>
              </w:rPr>
              <w:t>查询起止时间：磋商截止时间前三年内。</w:t>
            </w:r>
          </w:p>
          <w:p w14:paraId="5638E34A">
            <w:pPr>
              <w:spacing w:line="400" w:lineRule="exact"/>
              <w:rPr>
                <w:rFonts w:ascii="宋体" w:hAnsi="宋体" w:cs="宋体"/>
              </w:rPr>
            </w:pPr>
            <w:r>
              <w:rPr>
                <w:rFonts w:hint="eastAsia" w:ascii="宋体" w:hAnsi="宋体" w:cs="宋体"/>
              </w:rPr>
              <w:t>查询记录和证据留存方式：在查询网站中直接打印查询记录，打印材料作为评审资料保存。</w:t>
            </w:r>
          </w:p>
          <w:p w14:paraId="4EC7755A">
            <w:pPr>
              <w:spacing w:line="400" w:lineRule="exact"/>
              <w:rPr>
                <w:rFonts w:ascii="宋体" w:hAnsi="宋体" w:cs="宋体"/>
                <w:szCs w:val="21"/>
              </w:rPr>
            </w:pPr>
            <w:r>
              <w:rPr>
                <w:rFonts w:hint="eastAsia" w:ascii="宋体" w:hAnsi="宋体" w:cs="宋体"/>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w:t>
            </w:r>
            <w:r>
              <w:rPr>
                <w:rFonts w:hint="eastAsia" w:ascii="宋体" w:hAnsi="宋体" w:cs="宋体"/>
                <w:szCs w:val="21"/>
              </w:rPr>
              <w:t>资格审查不通过，</w:t>
            </w:r>
            <w:r>
              <w:rPr>
                <w:rFonts w:hint="eastAsia" w:ascii="宋体" w:hAnsi="宋体" w:cs="宋体"/>
              </w:rPr>
              <w:t>不得参与采购活动。</w:t>
            </w:r>
          </w:p>
        </w:tc>
      </w:tr>
      <w:tr w14:paraId="5AC49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2B957A7A">
            <w:pPr>
              <w:spacing w:line="400" w:lineRule="exact"/>
              <w:rPr>
                <w:rFonts w:ascii="宋体" w:hAnsi="宋体" w:cs="宋体"/>
                <w:szCs w:val="21"/>
              </w:rPr>
            </w:pPr>
            <w:r>
              <w:rPr>
                <w:rFonts w:hint="eastAsia" w:ascii="宋体" w:hAnsi="宋体" w:cs="宋体"/>
                <w:szCs w:val="21"/>
              </w:rPr>
              <w:t>12</w:t>
            </w:r>
          </w:p>
        </w:tc>
        <w:tc>
          <w:tcPr>
            <w:tcW w:w="888" w:type="dxa"/>
            <w:vAlign w:val="center"/>
          </w:tcPr>
          <w:p w14:paraId="71CA75CB">
            <w:pPr>
              <w:spacing w:line="400" w:lineRule="exact"/>
              <w:jc w:val="center"/>
              <w:rPr>
                <w:rFonts w:ascii="宋体" w:hAnsi="宋体" w:cs="宋体"/>
                <w:szCs w:val="21"/>
              </w:rPr>
            </w:pPr>
            <w:r>
              <w:rPr>
                <w:rFonts w:hint="eastAsia" w:ascii="宋体" w:hAnsi="宋体" w:cs="宋体"/>
                <w:szCs w:val="21"/>
              </w:rPr>
              <w:t>15.4</w:t>
            </w:r>
          </w:p>
        </w:tc>
        <w:tc>
          <w:tcPr>
            <w:tcW w:w="7512" w:type="dxa"/>
            <w:vAlign w:val="center"/>
          </w:tcPr>
          <w:p w14:paraId="15F34423">
            <w:pPr>
              <w:pStyle w:val="20"/>
              <w:spacing w:line="400" w:lineRule="exact"/>
              <w:ind w:firstLine="420" w:firstLineChars="200"/>
              <w:rPr>
                <w:rFonts w:ascii="宋体" w:hAnsi="宋体" w:cs="宋体"/>
                <w:szCs w:val="21"/>
              </w:rPr>
            </w:pPr>
            <w:r>
              <w:rPr>
                <w:rFonts w:hint="eastAsia" w:ascii="宋体" w:hAnsi="宋体" w:cs="宋体"/>
                <w:szCs w:val="21"/>
              </w:rPr>
              <w:t>磋商时间：详见第一章《竞争性磋商公告》</w:t>
            </w:r>
          </w:p>
          <w:p w14:paraId="25DB0C08">
            <w:pPr>
              <w:spacing w:line="400" w:lineRule="exact"/>
              <w:ind w:firstLine="420" w:firstLineChars="200"/>
              <w:rPr>
                <w:rFonts w:ascii="宋体" w:hAnsi="宋体" w:cs="宋体"/>
                <w:szCs w:val="21"/>
              </w:rPr>
            </w:pPr>
            <w:r>
              <w:rPr>
                <w:rFonts w:hint="eastAsia" w:ascii="宋体" w:hAnsi="宋体" w:cs="宋体"/>
                <w:szCs w:val="21"/>
              </w:rPr>
              <w:t>磋商地点：详见第一章《竞争性磋商公告》</w:t>
            </w:r>
            <w:r>
              <w:rPr>
                <w:rFonts w:hint="eastAsia" w:ascii="宋体" w:hAnsi="宋体" w:cs="宋体"/>
                <w:kern w:val="0"/>
                <w:szCs w:val="21"/>
              </w:rPr>
              <w:t>）</w:t>
            </w:r>
          </w:p>
        </w:tc>
      </w:tr>
      <w:tr w14:paraId="430E3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7708F300">
            <w:pPr>
              <w:spacing w:line="400" w:lineRule="exact"/>
              <w:ind w:left="-274"/>
              <w:jc w:val="center"/>
              <w:rPr>
                <w:rFonts w:ascii="宋体" w:hAnsi="宋体" w:cs="宋体"/>
                <w:szCs w:val="21"/>
              </w:rPr>
            </w:pPr>
            <w:r>
              <w:rPr>
                <w:rFonts w:hint="eastAsia" w:ascii="宋体" w:hAnsi="宋体" w:cs="宋体"/>
                <w:szCs w:val="21"/>
              </w:rPr>
              <w:t>13</w:t>
            </w:r>
          </w:p>
        </w:tc>
        <w:tc>
          <w:tcPr>
            <w:tcW w:w="888" w:type="dxa"/>
            <w:vAlign w:val="center"/>
          </w:tcPr>
          <w:p w14:paraId="6BE20FC3">
            <w:pPr>
              <w:spacing w:line="400" w:lineRule="exact"/>
              <w:jc w:val="center"/>
              <w:rPr>
                <w:rFonts w:ascii="宋体" w:hAnsi="宋体" w:cs="宋体"/>
                <w:szCs w:val="21"/>
              </w:rPr>
            </w:pPr>
            <w:r>
              <w:rPr>
                <w:rFonts w:hint="eastAsia" w:ascii="宋体" w:hAnsi="宋体" w:cs="宋体"/>
                <w:szCs w:val="21"/>
              </w:rPr>
              <w:t>23.1</w:t>
            </w:r>
          </w:p>
        </w:tc>
        <w:tc>
          <w:tcPr>
            <w:tcW w:w="7512" w:type="dxa"/>
            <w:vAlign w:val="center"/>
          </w:tcPr>
          <w:p w14:paraId="1D322739">
            <w:pPr>
              <w:spacing w:line="400" w:lineRule="exact"/>
              <w:ind w:firstLine="420" w:firstLineChars="200"/>
              <w:rPr>
                <w:rFonts w:ascii="宋体" w:hAnsi="宋体" w:cs="宋体"/>
                <w:szCs w:val="21"/>
              </w:rPr>
            </w:pPr>
            <w:r>
              <w:rPr>
                <w:rFonts w:hint="eastAsia" w:ascii="宋体" w:hAnsi="宋体" w:cs="宋体"/>
                <w:szCs w:val="21"/>
              </w:rPr>
              <w:t>参照《中华人民共和国政府采购法实施条例》第四十三条及《政府采购竞争性磋商采购方式管理暂行办法》财库〔2014〕214号第二十九条规定，成交结果公告内容包括成交供应商名称、地址和成交金额，主要成交标的的名称、服务内容、数量、单价、服务要求。</w:t>
            </w:r>
          </w:p>
        </w:tc>
      </w:tr>
      <w:tr w14:paraId="11E25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006288AB">
            <w:pPr>
              <w:spacing w:line="400" w:lineRule="exact"/>
              <w:rPr>
                <w:rFonts w:ascii="宋体" w:hAnsi="宋体" w:cs="宋体"/>
                <w:szCs w:val="21"/>
              </w:rPr>
            </w:pPr>
            <w:r>
              <w:rPr>
                <w:rFonts w:hint="eastAsia" w:ascii="宋体" w:hAnsi="宋体" w:cs="宋体"/>
                <w:szCs w:val="21"/>
              </w:rPr>
              <w:t>14</w:t>
            </w:r>
          </w:p>
        </w:tc>
        <w:tc>
          <w:tcPr>
            <w:tcW w:w="888" w:type="dxa"/>
            <w:vAlign w:val="center"/>
          </w:tcPr>
          <w:p w14:paraId="7F98B865">
            <w:pPr>
              <w:spacing w:line="400" w:lineRule="exact"/>
              <w:jc w:val="center"/>
              <w:rPr>
                <w:rFonts w:ascii="宋体" w:hAnsi="宋体" w:cs="宋体"/>
                <w:szCs w:val="21"/>
              </w:rPr>
            </w:pPr>
            <w:r>
              <w:rPr>
                <w:rFonts w:hint="eastAsia" w:ascii="宋体" w:hAnsi="宋体" w:cs="宋体"/>
                <w:szCs w:val="21"/>
              </w:rPr>
              <w:t>24</w:t>
            </w:r>
          </w:p>
        </w:tc>
        <w:tc>
          <w:tcPr>
            <w:tcW w:w="7512" w:type="dxa"/>
            <w:vAlign w:val="center"/>
          </w:tcPr>
          <w:p w14:paraId="735BA81B">
            <w:pPr>
              <w:autoSpaceDE w:val="0"/>
              <w:autoSpaceDN w:val="0"/>
              <w:spacing w:line="500" w:lineRule="exact"/>
              <w:ind w:left="-70"/>
              <w:rPr>
                <w:rFonts w:ascii="宋体" w:hAnsi="宋体" w:cs="宋体"/>
                <w:szCs w:val="21"/>
              </w:rPr>
            </w:pPr>
            <w:r>
              <w:rPr>
                <w:szCs w:val="21"/>
              </w:rPr>
              <w:sym w:font="Wingdings" w:char="00A8"/>
            </w:r>
            <w:r>
              <w:rPr>
                <w:rFonts w:hint="eastAsia" w:ascii="宋体" w:hAnsi="宋体" w:cs="宋体"/>
                <w:szCs w:val="21"/>
              </w:rPr>
              <w:t>本项目不收取履约保证金。</w:t>
            </w:r>
          </w:p>
          <w:p w14:paraId="7160B1B7">
            <w:pPr>
              <w:autoSpaceDE w:val="0"/>
              <w:autoSpaceDN w:val="0"/>
              <w:spacing w:line="360" w:lineRule="auto"/>
              <w:ind w:left="-70"/>
              <w:rPr>
                <w:rFonts w:ascii="宋体" w:hAnsi="宋体" w:cs="宋体"/>
                <w:szCs w:val="21"/>
              </w:rPr>
            </w:pPr>
            <w:r>
              <w:rPr>
                <w:szCs w:val="21"/>
              </w:rPr>
              <w:sym w:font="Wingdings" w:char="00FE"/>
            </w:r>
            <w:r>
              <w:rPr>
                <w:rFonts w:hint="eastAsia" w:ascii="宋体" w:hAnsi="宋体" w:cs="宋体"/>
                <w:szCs w:val="21"/>
              </w:rPr>
              <w:t>本项目收取履约保证金：详见商务条款。</w:t>
            </w:r>
          </w:p>
          <w:p w14:paraId="490A5159">
            <w:pPr>
              <w:autoSpaceDE w:val="0"/>
              <w:autoSpaceDN w:val="0"/>
              <w:spacing w:line="360" w:lineRule="auto"/>
              <w:ind w:left="-70"/>
              <w:rPr>
                <w:rFonts w:ascii="宋体" w:hAnsi="宋体" w:cs="宋体"/>
                <w:szCs w:val="21"/>
              </w:rPr>
            </w:pPr>
            <w:r>
              <w:rPr>
                <w:rFonts w:hint="eastAsia" w:ascii="宋体" w:hAnsi="宋体" w:cs="宋体"/>
                <w:szCs w:val="21"/>
              </w:rPr>
              <w:t>履约保证金递交方式：详见商务条款。</w:t>
            </w:r>
          </w:p>
          <w:p w14:paraId="55FBFC0E">
            <w:pPr>
              <w:autoSpaceDE w:val="0"/>
              <w:autoSpaceDN w:val="0"/>
              <w:spacing w:line="360" w:lineRule="auto"/>
              <w:ind w:left="-70"/>
              <w:rPr>
                <w:rFonts w:ascii="宋体" w:hAnsi="宋体" w:cs="宋体"/>
                <w:szCs w:val="21"/>
              </w:rPr>
            </w:pPr>
            <w:r>
              <w:rPr>
                <w:rFonts w:hint="eastAsia" w:ascii="宋体" w:hAnsi="宋体" w:cs="宋体"/>
                <w:szCs w:val="21"/>
              </w:rPr>
              <w:t>履约保证金退付方式、时间及条件详见商务条款。</w:t>
            </w:r>
          </w:p>
          <w:p w14:paraId="5E3FD4FC">
            <w:pPr>
              <w:autoSpaceDE w:val="0"/>
              <w:autoSpaceDN w:val="0"/>
              <w:spacing w:line="360" w:lineRule="auto"/>
              <w:ind w:left="-70"/>
              <w:rPr>
                <w:rFonts w:ascii="楷体" w:hAnsi="楷体" w:eastAsia="楷体" w:cs="宋体"/>
                <w:b/>
                <w:szCs w:val="21"/>
              </w:rPr>
            </w:pPr>
            <w:r>
              <w:rPr>
                <w:rFonts w:hint="eastAsia" w:ascii="楷体" w:hAnsi="楷体" w:eastAsia="楷体" w:cs="宋体"/>
                <w:b/>
                <w:szCs w:val="21"/>
              </w:rPr>
              <w:t>【备注】</w:t>
            </w:r>
          </w:p>
          <w:p w14:paraId="6531A296">
            <w:pPr>
              <w:autoSpaceDE w:val="0"/>
              <w:autoSpaceDN w:val="0"/>
              <w:spacing w:line="360" w:lineRule="auto"/>
              <w:ind w:left="-70"/>
              <w:rPr>
                <w:rFonts w:ascii="楷体" w:hAnsi="楷体" w:eastAsia="楷体" w:cs="宋体"/>
                <w:b/>
                <w:szCs w:val="21"/>
              </w:rPr>
            </w:pPr>
            <w:r>
              <w:rPr>
                <w:rFonts w:ascii="楷体" w:hAnsi="楷体" w:eastAsia="楷体" w:cs="宋体"/>
                <w:b/>
                <w:szCs w:val="21"/>
              </w:rPr>
              <w:t>1.</w:t>
            </w:r>
            <w:r>
              <w:rPr>
                <w:szCs w:val="21"/>
              </w:rPr>
              <w:t xml:space="preserve"> </w:t>
            </w:r>
            <w:r>
              <w:rPr>
                <w:rFonts w:hint="eastAsia" w:ascii="楷体" w:hAnsi="楷体" w:eastAsia="楷体" w:cs="宋体"/>
                <w:b/>
                <w:szCs w:val="21"/>
              </w:rPr>
              <w:t>根据《桂财规〔2022〕8号 广西壮族自治区财政厅关于规范政府采购货物和服务项目保证金管理的通知》，采购人在采购文件中要求提交履约保证金的，履约保证金数额不得超过政府采购合同金额的5%；政府采购要加大对中小企业发展的扶持力度，对中小企业收取的履约保证金数额不得超过政府采购合同金额的2%。</w:t>
            </w:r>
          </w:p>
          <w:p w14:paraId="2B7720A5">
            <w:pPr>
              <w:autoSpaceDE w:val="0"/>
              <w:autoSpaceDN w:val="0"/>
              <w:spacing w:line="360" w:lineRule="auto"/>
              <w:ind w:left="-70"/>
              <w:rPr>
                <w:rFonts w:ascii="楷体" w:hAnsi="楷体" w:eastAsia="楷体" w:cs="宋体"/>
                <w:b/>
                <w:szCs w:val="21"/>
              </w:rPr>
            </w:pPr>
            <w:r>
              <w:rPr>
                <w:rFonts w:ascii="楷体" w:hAnsi="楷体" w:eastAsia="楷体" w:cs="宋体"/>
                <w:b/>
                <w:szCs w:val="21"/>
              </w:rPr>
              <w:t>2.履约保证金不足额缴纳的，或者银行出具的保函额度不足的或者保函有效期低于合同履行期限（即签订采购合同之日起至履行完合同约定的权利及义务之日止）的，不予签订合同。</w:t>
            </w:r>
          </w:p>
          <w:p w14:paraId="5EB4C9AE">
            <w:pPr>
              <w:autoSpaceDE w:val="0"/>
              <w:autoSpaceDN w:val="0"/>
              <w:spacing w:line="360" w:lineRule="auto"/>
              <w:ind w:left="-70"/>
              <w:rPr>
                <w:rFonts w:ascii="楷体" w:hAnsi="楷体" w:eastAsia="楷体" w:cs="宋体"/>
                <w:b/>
                <w:szCs w:val="21"/>
              </w:rPr>
            </w:pPr>
            <w:r>
              <w:rPr>
                <w:rFonts w:ascii="楷体" w:hAnsi="楷体" w:eastAsia="楷体" w:cs="宋体"/>
                <w:b/>
                <w:szCs w:val="21"/>
              </w:rPr>
              <w:t>3.采用银行出具的保函的，必须为无条件保函，否则不予签订合同。</w:t>
            </w:r>
          </w:p>
          <w:p w14:paraId="4CD18C3B">
            <w:pPr>
              <w:spacing w:line="400" w:lineRule="exact"/>
              <w:rPr>
                <w:rFonts w:ascii="宋体" w:hAnsi="宋体" w:cs="宋体"/>
              </w:rPr>
            </w:pPr>
            <w:r>
              <w:rPr>
                <w:rFonts w:ascii="楷体" w:hAnsi="楷体" w:eastAsia="楷体" w:cs="宋体"/>
                <w:b/>
                <w:szCs w:val="21"/>
              </w:rPr>
              <w:t>4.供应商为联合体的，由联合体任意一方按规定提交的履约保证金，视为有效履约保证金。</w:t>
            </w:r>
          </w:p>
        </w:tc>
      </w:tr>
      <w:tr w14:paraId="23A0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47E84812">
            <w:pPr>
              <w:spacing w:line="400" w:lineRule="exact"/>
              <w:rPr>
                <w:rFonts w:ascii="宋体" w:hAnsi="宋体" w:cs="宋体"/>
                <w:szCs w:val="21"/>
              </w:rPr>
            </w:pPr>
            <w:r>
              <w:rPr>
                <w:rFonts w:hint="eastAsia" w:ascii="宋体" w:hAnsi="宋体" w:cs="宋体"/>
                <w:szCs w:val="21"/>
              </w:rPr>
              <w:t>15</w:t>
            </w:r>
          </w:p>
        </w:tc>
        <w:tc>
          <w:tcPr>
            <w:tcW w:w="888" w:type="dxa"/>
            <w:vAlign w:val="center"/>
          </w:tcPr>
          <w:p w14:paraId="49CEDE89">
            <w:pPr>
              <w:spacing w:line="400" w:lineRule="exact"/>
              <w:jc w:val="center"/>
              <w:rPr>
                <w:rFonts w:ascii="宋体" w:hAnsi="宋体" w:cs="宋体"/>
                <w:szCs w:val="21"/>
              </w:rPr>
            </w:pPr>
            <w:r>
              <w:rPr>
                <w:rFonts w:hint="eastAsia" w:ascii="宋体" w:hAnsi="宋体" w:cs="宋体"/>
                <w:szCs w:val="21"/>
              </w:rPr>
              <w:t>28</w:t>
            </w:r>
          </w:p>
        </w:tc>
        <w:tc>
          <w:tcPr>
            <w:tcW w:w="7512" w:type="dxa"/>
            <w:vAlign w:val="center"/>
          </w:tcPr>
          <w:p w14:paraId="1479A70D">
            <w:pPr>
              <w:autoSpaceDE w:val="0"/>
              <w:autoSpaceDN w:val="0"/>
              <w:spacing w:line="400" w:lineRule="exact"/>
              <w:ind w:firstLine="420" w:firstLineChars="200"/>
              <w:rPr>
                <w:rFonts w:ascii="宋体" w:hAnsi="宋体" w:cs="宋体"/>
                <w:szCs w:val="21"/>
              </w:rPr>
            </w:pPr>
            <w:r>
              <w:rPr>
                <w:rFonts w:hint="eastAsia" w:ascii="宋体" w:hAnsi="宋体" w:cs="宋体"/>
                <w:szCs w:val="21"/>
              </w:rPr>
              <w:t>接收质疑函的方式：接收磋商供应商或其委托代理人以书面形式递交的质疑函原件，委托代理人提出质疑的，还应当提交磋商供应商签署的授权委托书。</w:t>
            </w:r>
          </w:p>
          <w:p w14:paraId="70D810BD">
            <w:pPr>
              <w:autoSpaceDE w:val="0"/>
              <w:autoSpaceDN w:val="0"/>
              <w:spacing w:line="400" w:lineRule="exact"/>
              <w:ind w:firstLine="420" w:firstLineChars="200"/>
              <w:rPr>
                <w:rFonts w:ascii="宋体" w:hAnsi="宋体" w:cs="宋体"/>
                <w:szCs w:val="21"/>
              </w:rPr>
            </w:pPr>
            <w:r>
              <w:rPr>
                <w:rFonts w:hint="eastAsia" w:ascii="宋体" w:hAnsi="宋体" w:cs="宋体"/>
                <w:szCs w:val="21"/>
              </w:rPr>
              <w:t>地址：广西正海招标有限公司（南宁市青秀区茅桥路2号习艺基地A栋1号电梯3楼）</w:t>
            </w:r>
          </w:p>
          <w:p w14:paraId="4510D8E6">
            <w:pPr>
              <w:autoSpaceDE w:val="0"/>
              <w:autoSpaceDN w:val="0"/>
              <w:spacing w:line="400" w:lineRule="exact"/>
              <w:ind w:firstLine="420" w:firstLineChars="200"/>
              <w:rPr>
                <w:rFonts w:ascii="宋体" w:hAnsi="宋体" w:cs="宋体"/>
                <w:szCs w:val="21"/>
              </w:rPr>
            </w:pPr>
            <w:r>
              <w:rPr>
                <w:rFonts w:hint="eastAsia" w:ascii="宋体" w:hAnsi="宋体" w:cs="宋体"/>
                <w:szCs w:val="21"/>
              </w:rPr>
              <w:t>联系人：谭工    联系电话：0771-2865989</w:t>
            </w:r>
          </w:p>
        </w:tc>
      </w:tr>
      <w:tr w14:paraId="1010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dxa"/>
            <w:vAlign w:val="center"/>
          </w:tcPr>
          <w:p w14:paraId="1F02F6AC">
            <w:pPr>
              <w:spacing w:line="400" w:lineRule="exact"/>
              <w:rPr>
                <w:rFonts w:ascii="宋体" w:hAnsi="宋体" w:cs="宋体"/>
                <w:szCs w:val="21"/>
              </w:rPr>
            </w:pPr>
            <w:r>
              <w:rPr>
                <w:rFonts w:hint="eastAsia" w:ascii="宋体" w:hAnsi="宋体" w:cs="宋体"/>
                <w:szCs w:val="21"/>
              </w:rPr>
              <w:t>16</w:t>
            </w:r>
          </w:p>
        </w:tc>
        <w:tc>
          <w:tcPr>
            <w:tcW w:w="888" w:type="dxa"/>
            <w:vAlign w:val="center"/>
          </w:tcPr>
          <w:p w14:paraId="1762E4B4">
            <w:pPr>
              <w:spacing w:line="400" w:lineRule="exact"/>
              <w:jc w:val="center"/>
              <w:rPr>
                <w:rFonts w:ascii="宋体" w:hAnsi="宋体" w:cs="宋体"/>
                <w:szCs w:val="21"/>
              </w:rPr>
            </w:pPr>
          </w:p>
        </w:tc>
        <w:tc>
          <w:tcPr>
            <w:tcW w:w="7512" w:type="dxa"/>
            <w:vAlign w:val="center"/>
          </w:tcPr>
          <w:p w14:paraId="134C9FA2">
            <w:pPr>
              <w:spacing w:line="400" w:lineRule="exact"/>
              <w:ind w:firstLine="420" w:firstLineChars="200"/>
              <w:rPr>
                <w:rFonts w:ascii="宋体" w:hAnsi="宋体" w:cs="宋体"/>
                <w:szCs w:val="21"/>
              </w:rPr>
            </w:pPr>
            <w:r>
              <w:rPr>
                <w:rFonts w:hint="eastAsia" w:ascii="宋体" w:hAnsi="宋体" w:cs="宋体"/>
                <w:szCs w:val="21"/>
              </w:rPr>
              <w:t>1．本竞争性磋商文件中描述供应商的“公章”是指根据我国国务院印章管理法律规定，经公安机关批注刻制并备案的供应商企业法人行政公章供应商的财务章、部门章、分公司章、工会章、合同章、磋商专用章、业务专用章等其它形式印章均不能代替公章。</w:t>
            </w:r>
          </w:p>
          <w:p w14:paraId="3BE3F922">
            <w:pPr>
              <w:spacing w:line="400" w:lineRule="exact"/>
              <w:ind w:firstLine="420" w:firstLineChars="200"/>
              <w:rPr>
                <w:rFonts w:ascii="宋体" w:hAnsi="宋体" w:cs="宋体"/>
                <w:szCs w:val="21"/>
              </w:rPr>
            </w:pPr>
            <w:r>
              <w:rPr>
                <w:rFonts w:hint="eastAsia" w:ascii="宋体" w:hAnsi="宋体" w:cs="宋体"/>
                <w:szCs w:val="21"/>
              </w:rPr>
              <w:t>2．本竞争性磋商文件中描述供应商的“签字”是指供应商的法定代表人或授权代理人亲自在竞争性磋商文件规定签署处亲笔写上个人的名字的行为，私章、签字章、印鉴、影印等其它形式均不能代替亲笔签字。</w:t>
            </w:r>
          </w:p>
        </w:tc>
      </w:tr>
    </w:tbl>
    <w:p w14:paraId="503CFDE2">
      <w:pPr>
        <w:spacing w:line="400" w:lineRule="exact"/>
        <w:jc w:val="center"/>
        <w:rPr>
          <w:rFonts w:ascii="宋体" w:hAnsi="宋体" w:cs="宋体"/>
          <w:b/>
          <w:sz w:val="28"/>
          <w:szCs w:val="28"/>
        </w:rPr>
      </w:pPr>
      <w:r>
        <w:rPr>
          <w:rFonts w:hint="eastAsia" w:ascii="宋体" w:hAnsi="宋体" w:cs="宋体"/>
          <w:b/>
          <w:sz w:val="32"/>
          <w:szCs w:val="32"/>
        </w:rPr>
        <w:br w:type="page"/>
      </w:r>
      <w:r>
        <w:rPr>
          <w:rFonts w:hint="eastAsia" w:ascii="宋体" w:hAnsi="宋体" w:cs="宋体"/>
          <w:b/>
          <w:sz w:val="28"/>
          <w:szCs w:val="28"/>
        </w:rPr>
        <w:t xml:space="preserve">  供应商须知</w:t>
      </w:r>
    </w:p>
    <w:p w14:paraId="7838E0B2">
      <w:pPr>
        <w:spacing w:line="440" w:lineRule="exact"/>
        <w:ind w:firstLine="422" w:firstLineChars="200"/>
        <w:rPr>
          <w:rFonts w:ascii="宋体" w:hAnsi="宋体" w:cs="宋体"/>
          <w:b/>
          <w:szCs w:val="21"/>
        </w:rPr>
      </w:pPr>
      <w:r>
        <w:rPr>
          <w:rFonts w:hint="eastAsia" w:ascii="宋体" w:hAnsi="宋体" w:cs="宋体"/>
          <w:b/>
          <w:szCs w:val="21"/>
        </w:rPr>
        <w:t>一、总　则</w:t>
      </w:r>
    </w:p>
    <w:p w14:paraId="48711BF7">
      <w:pPr>
        <w:spacing w:line="440" w:lineRule="exact"/>
        <w:ind w:firstLine="420" w:firstLineChars="200"/>
        <w:rPr>
          <w:rFonts w:ascii="宋体" w:hAnsi="宋体" w:cs="宋体"/>
          <w:szCs w:val="21"/>
        </w:rPr>
      </w:pPr>
      <w:r>
        <w:rPr>
          <w:rFonts w:hint="eastAsia" w:ascii="宋体" w:hAnsi="宋体" w:cs="宋体"/>
          <w:szCs w:val="21"/>
        </w:rPr>
        <w:t>1. 适用范围</w:t>
      </w:r>
    </w:p>
    <w:p w14:paraId="2FCABCE4">
      <w:pPr>
        <w:spacing w:line="440" w:lineRule="exact"/>
        <w:ind w:firstLine="420" w:firstLineChars="200"/>
        <w:rPr>
          <w:rFonts w:ascii="宋体" w:hAnsi="宋体" w:cs="宋体"/>
          <w:szCs w:val="21"/>
        </w:rPr>
      </w:pPr>
      <w:r>
        <w:rPr>
          <w:rFonts w:hint="eastAsia" w:ascii="宋体" w:hAnsi="宋体" w:cs="宋体"/>
          <w:szCs w:val="21"/>
        </w:rPr>
        <w:t>1.1 本文件仅适用于本文件中所叙述的服务类采购项目。</w:t>
      </w:r>
    </w:p>
    <w:p w14:paraId="6D6C8529">
      <w:pPr>
        <w:spacing w:line="440" w:lineRule="exact"/>
        <w:ind w:firstLine="420" w:firstLineChars="200"/>
        <w:rPr>
          <w:rFonts w:ascii="宋体" w:hAnsi="宋体" w:cs="宋体"/>
          <w:szCs w:val="21"/>
        </w:rPr>
      </w:pPr>
      <w:r>
        <w:rPr>
          <w:rFonts w:hint="eastAsia" w:ascii="宋体" w:hAnsi="宋体" w:cs="宋体"/>
          <w:szCs w:val="21"/>
        </w:rPr>
        <w:t>2. 定义</w:t>
      </w:r>
    </w:p>
    <w:p w14:paraId="619ECB2D">
      <w:pPr>
        <w:spacing w:line="440" w:lineRule="exact"/>
        <w:ind w:firstLine="420" w:firstLineChars="200"/>
        <w:rPr>
          <w:rFonts w:ascii="宋体" w:hAnsi="宋体" w:cs="宋体"/>
          <w:szCs w:val="21"/>
        </w:rPr>
      </w:pPr>
      <w:r>
        <w:rPr>
          <w:rFonts w:hint="eastAsia" w:ascii="宋体" w:hAnsi="宋体" w:cs="宋体"/>
          <w:szCs w:val="21"/>
        </w:rPr>
        <w:t xml:space="preserve">2.1“采购人”是指：南宁师范大学。 </w:t>
      </w:r>
    </w:p>
    <w:p w14:paraId="0B331943">
      <w:pPr>
        <w:spacing w:line="440" w:lineRule="exact"/>
        <w:ind w:firstLine="420" w:firstLineChars="200"/>
        <w:rPr>
          <w:rFonts w:ascii="宋体" w:hAnsi="宋体" w:cs="宋体"/>
          <w:szCs w:val="21"/>
          <w:u w:val="single"/>
        </w:rPr>
      </w:pPr>
      <w:r>
        <w:rPr>
          <w:rFonts w:hint="eastAsia" w:ascii="宋体" w:hAnsi="宋体" w:cs="宋体"/>
          <w:szCs w:val="21"/>
        </w:rPr>
        <w:t>2.2“采购代理机构”是指：广西正海招标有限公司</w:t>
      </w:r>
    </w:p>
    <w:p w14:paraId="3C8DD46B">
      <w:pPr>
        <w:spacing w:line="440" w:lineRule="exact"/>
        <w:ind w:firstLine="420" w:firstLineChars="200"/>
        <w:rPr>
          <w:rFonts w:ascii="宋体" w:hAnsi="宋体" w:cs="宋体"/>
          <w:szCs w:val="21"/>
        </w:rPr>
      </w:pPr>
      <w:r>
        <w:rPr>
          <w:rFonts w:hint="eastAsia" w:ascii="宋体" w:hAnsi="宋体" w:cs="宋体"/>
          <w:szCs w:val="21"/>
        </w:rPr>
        <w:t>2.3“供应商”是指响应本文件要求，参加磋商的法人或者其他组织。如果该供应商在本次磋商中成交，即成为“成交供应商”。</w:t>
      </w:r>
    </w:p>
    <w:p w14:paraId="29330527">
      <w:pPr>
        <w:spacing w:line="440" w:lineRule="exact"/>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14:paraId="26752117">
      <w:pPr>
        <w:spacing w:line="440" w:lineRule="exact"/>
        <w:ind w:firstLine="420" w:firstLineChars="200"/>
        <w:rPr>
          <w:rFonts w:ascii="宋体" w:hAnsi="宋体" w:cs="宋体"/>
          <w:szCs w:val="21"/>
        </w:rPr>
      </w:pPr>
      <w:r>
        <w:rPr>
          <w:rFonts w:hint="eastAsia" w:ascii="宋体" w:hAnsi="宋体" w:cs="宋体"/>
          <w:szCs w:val="21"/>
        </w:rPr>
        <w:t>2.5“服务”是指除货物和工程以外的其他采购对象。</w:t>
      </w:r>
    </w:p>
    <w:p w14:paraId="1D5A94E8">
      <w:pPr>
        <w:spacing w:line="440" w:lineRule="exact"/>
        <w:ind w:firstLine="420" w:firstLineChars="200"/>
        <w:rPr>
          <w:rFonts w:ascii="宋体" w:hAnsi="宋体" w:cs="宋体"/>
          <w:szCs w:val="21"/>
        </w:rPr>
      </w:pPr>
      <w:r>
        <w:rPr>
          <w:rFonts w:hint="eastAsia" w:ascii="宋体" w:hAnsi="宋体" w:cs="宋体"/>
          <w:szCs w:val="21"/>
        </w:rPr>
        <w:t>2.6“响应文件”是指：供应商根据本文件要求，编制包含报价、商务、技术和服务等所有内容的文件。</w:t>
      </w:r>
    </w:p>
    <w:p w14:paraId="6D078159">
      <w:pPr>
        <w:spacing w:line="440" w:lineRule="exact"/>
        <w:ind w:firstLine="420" w:firstLineChars="200"/>
        <w:rPr>
          <w:rFonts w:ascii="宋体" w:hAnsi="宋体" w:cs="宋体"/>
          <w:szCs w:val="21"/>
        </w:rPr>
      </w:pPr>
      <w:r>
        <w:rPr>
          <w:rFonts w:hint="eastAsia" w:ascii="宋体" w:hAnsi="宋体" w:cs="宋体"/>
          <w:szCs w:val="21"/>
        </w:rPr>
        <w:t>3. 供应商的基本条件：见供应商须知前附表。</w:t>
      </w:r>
    </w:p>
    <w:p w14:paraId="460C8822">
      <w:pPr>
        <w:spacing w:line="440" w:lineRule="exact"/>
        <w:ind w:firstLine="420" w:firstLineChars="200"/>
        <w:rPr>
          <w:rFonts w:ascii="宋体" w:hAnsi="宋体" w:cs="宋体"/>
          <w:szCs w:val="21"/>
        </w:rPr>
      </w:pPr>
      <w:r>
        <w:rPr>
          <w:rFonts w:hint="eastAsia" w:ascii="宋体" w:hAnsi="宋体" w:cs="宋体"/>
          <w:szCs w:val="21"/>
        </w:rPr>
        <w:t>4. 磋商费用、代理服务费</w:t>
      </w:r>
    </w:p>
    <w:p w14:paraId="18D5EAD5">
      <w:pPr>
        <w:spacing w:line="440" w:lineRule="exact"/>
        <w:ind w:firstLine="420" w:firstLineChars="200"/>
        <w:rPr>
          <w:rFonts w:ascii="宋体" w:hAnsi="宋体" w:cs="宋体"/>
          <w:szCs w:val="21"/>
        </w:rPr>
      </w:pPr>
      <w:r>
        <w:rPr>
          <w:rFonts w:hint="eastAsia" w:ascii="宋体" w:hAnsi="宋体" w:cs="宋体"/>
          <w:szCs w:val="21"/>
        </w:rPr>
        <w:t>4.1 磋商费用：供应商应自行承担所有与编写和提交响应文件有关的费用，不论磋商结果如何，采购人和采购代理机构在任何情况下无义务和责任承担此类费用。</w:t>
      </w:r>
    </w:p>
    <w:p w14:paraId="208DA040">
      <w:pPr>
        <w:spacing w:line="440" w:lineRule="exact"/>
        <w:ind w:firstLine="420" w:firstLineChars="200"/>
        <w:rPr>
          <w:rFonts w:ascii="宋体" w:hAnsi="宋体" w:cs="宋体"/>
          <w:szCs w:val="21"/>
        </w:rPr>
      </w:pPr>
      <w:r>
        <w:rPr>
          <w:rFonts w:hint="eastAsia" w:ascii="宋体" w:hAnsi="宋体" w:cs="宋体"/>
          <w:szCs w:val="21"/>
        </w:rPr>
        <w:t>4.2 代理服务费：本项目的代理服务费按须知前附表的规定执行，由成交供应商在领取成交通知书前，一次性向采购代理机构支付。</w:t>
      </w:r>
    </w:p>
    <w:p w14:paraId="58D23557">
      <w:pPr>
        <w:spacing w:line="440" w:lineRule="exact"/>
        <w:ind w:firstLine="422" w:firstLineChars="200"/>
        <w:rPr>
          <w:rFonts w:ascii="宋体" w:hAnsi="宋体" w:cs="宋体"/>
          <w:b/>
          <w:szCs w:val="21"/>
        </w:rPr>
      </w:pPr>
      <w:r>
        <w:rPr>
          <w:rFonts w:hint="eastAsia" w:ascii="宋体" w:hAnsi="宋体" w:cs="宋体"/>
          <w:b/>
          <w:szCs w:val="21"/>
        </w:rPr>
        <w:t>二、磋商文件</w:t>
      </w:r>
    </w:p>
    <w:p w14:paraId="21841D90">
      <w:pPr>
        <w:spacing w:line="440" w:lineRule="exact"/>
        <w:ind w:firstLine="420" w:firstLineChars="200"/>
        <w:rPr>
          <w:rFonts w:ascii="宋体" w:hAnsi="宋体" w:cs="宋体"/>
          <w:szCs w:val="21"/>
        </w:rPr>
      </w:pPr>
      <w:r>
        <w:rPr>
          <w:rFonts w:hint="eastAsia" w:ascii="宋体" w:hAnsi="宋体" w:cs="宋体"/>
          <w:szCs w:val="21"/>
        </w:rPr>
        <w:t>5. 竞争性磋商文件（以下简称磋商文件）的组成</w:t>
      </w:r>
    </w:p>
    <w:p w14:paraId="1ABF2003">
      <w:pPr>
        <w:spacing w:line="440" w:lineRule="exact"/>
        <w:ind w:firstLine="420" w:firstLineChars="200"/>
        <w:rPr>
          <w:rFonts w:ascii="宋体" w:hAnsi="宋体" w:cs="宋体"/>
          <w:szCs w:val="21"/>
        </w:rPr>
      </w:pPr>
      <w:r>
        <w:rPr>
          <w:rFonts w:hint="eastAsia" w:ascii="宋体" w:hAnsi="宋体" w:cs="宋体"/>
          <w:szCs w:val="21"/>
        </w:rPr>
        <w:t>（1）磋商公告；</w:t>
      </w:r>
    </w:p>
    <w:p w14:paraId="6554AF39">
      <w:pPr>
        <w:spacing w:line="440" w:lineRule="exact"/>
        <w:ind w:firstLine="420" w:firstLineChars="200"/>
        <w:rPr>
          <w:rFonts w:ascii="宋体" w:hAnsi="宋体" w:cs="宋体"/>
          <w:szCs w:val="21"/>
        </w:rPr>
      </w:pPr>
      <w:r>
        <w:rPr>
          <w:rFonts w:hint="eastAsia" w:ascii="宋体" w:hAnsi="宋体" w:cs="宋体"/>
          <w:szCs w:val="21"/>
        </w:rPr>
        <w:t>（2）磋商须知；</w:t>
      </w:r>
    </w:p>
    <w:p w14:paraId="0E6CBA8A">
      <w:pPr>
        <w:spacing w:line="440" w:lineRule="exact"/>
        <w:ind w:firstLine="420" w:firstLineChars="200"/>
        <w:rPr>
          <w:rFonts w:ascii="宋体" w:hAnsi="宋体" w:cs="宋体"/>
          <w:szCs w:val="21"/>
        </w:rPr>
      </w:pPr>
      <w:r>
        <w:rPr>
          <w:rFonts w:hint="eastAsia" w:ascii="宋体" w:hAnsi="宋体" w:cs="宋体"/>
          <w:szCs w:val="21"/>
        </w:rPr>
        <w:t>（3）项目需求；</w:t>
      </w:r>
    </w:p>
    <w:p w14:paraId="2380F429">
      <w:pPr>
        <w:spacing w:line="440" w:lineRule="exact"/>
        <w:ind w:firstLine="420" w:firstLineChars="200"/>
        <w:rPr>
          <w:rFonts w:ascii="宋体" w:hAnsi="宋体" w:cs="宋体"/>
          <w:szCs w:val="21"/>
        </w:rPr>
      </w:pPr>
      <w:r>
        <w:rPr>
          <w:rFonts w:hint="eastAsia" w:ascii="宋体" w:hAnsi="宋体" w:cs="宋体"/>
          <w:szCs w:val="21"/>
        </w:rPr>
        <w:t>（4）评审办法和定标标准；</w:t>
      </w:r>
    </w:p>
    <w:p w14:paraId="50879E5A">
      <w:pPr>
        <w:spacing w:line="440" w:lineRule="exact"/>
        <w:ind w:firstLine="420" w:firstLineChars="200"/>
        <w:rPr>
          <w:rFonts w:ascii="宋体" w:hAnsi="宋体" w:cs="宋体"/>
          <w:szCs w:val="21"/>
        </w:rPr>
      </w:pPr>
      <w:r>
        <w:rPr>
          <w:rFonts w:hint="eastAsia" w:ascii="宋体" w:hAnsi="宋体" w:cs="宋体"/>
          <w:szCs w:val="21"/>
        </w:rPr>
        <w:t>（5）响应文件格式；</w:t>
      </w:r>
    </w:p>
    <w:p w14:paraId="33379D07">
      <w:pPr>
        <w:spacing w:line="440" w:lineRule="exact"/>
        <w:ind w:firstLine="420" w:firstLineChars="200"/>
        <w:rPr>
          <w:rFonts w:ascii="宋体" w:hAnsi="宋体" w:cs="宋体"/>
          <w:szCs w:val="21"/>
        </w:rPr>
      </w:pPr>
      <w:r>
        <w:rPr>
          <w:rFonts w:hint="eastAsia" w:ascii="宋体" w:hAnsi="宋体" w:cs="宋体"/>
          <w:szCs w:val="21"/>
        </w:rPr>
        <w:t>（6）合同主要条款；</w:t>
      </w:r>
    </w:p>
    <w:p w14:paraId="5D501198">
      <w:pPr>
        <w:spacing w:line="440" w:lineRule="exact"/>
        <w:ind w:firstLine="420" w:firstLineChars="200"/>
        <w:rPr>
          <w:rFonts w:ascii="宋体" w:hAnsi="宋体" w:cs="宋体"/>
          <w:szCs w:val="21"/>
        </w:rPr>
      </w:pPr>
      <w:r>
        <w:rPr>
          <w:rFonts w:hint="eastAsia" w:ascii="宋体" w:hAnsi="宋体" w:cs="宋体"/>
          <w:szCs w:val="21"/>
        </w:rPr>
        <w:t>6. 现场勘察或答疑会：详见《采购项目需求》。</w:t>
      </w:r>
    </w:p>
    <w:p w14:paraId="30AC1414">
      <w:pPr>
        <w:spacing w:line="440" w:lineRule="exact"/>
        <w:ind w:firstLine="420" w:firstLineChars="200"/>
        <w:rPr>
          <w:rFonts w:ascii="宋体" w:hAnsi="宋体" w:cs="宋体"/>
          <w:szCs w:val="21"/>
        </w:rPr>
      </w:pPr>
      <w:r>
        <w:rPr>
          <w:rFonts w:hint="eastAsia" w:ascii="宋体" w:hAnsi="宋体" w:cs="宋体"/>
          <w:szCs w:val="21"/>
        </w:rPr>
        <w:t>7. 磋商文件的澄清与修改</w:t>
      </w:r>
    </w:p>
    <w:p w14:paraId="6943895E">
      <w:pPr>
        <w:spacing w:line="440" w:lineRule="exact"/>
        <w:ind w:firstLine="420" w:firstLineChars="200"/>
        <w:rPr>
          <w:rFonts w:ascii="宋体" w:hAnsi="宋体" w:cs="宋体"/>
          <w:szCs w:val="21"/>
        </w:rPr>
      </w:pPr>
      <w:r>
        <w:rPr>
          <w:rFonts w:hint="eastAsia" w:ascii="宋体" w:hAnsi="宋体" w:cs="宋体"/>
          <w:szCs w:val="21"/>
        </w:rPr>
        <w:t>7.1 供应商应认真阅读磋商文件的采购需求，如发现需求中有误或要求不合理的，以书面形式向采购人、采购代理机构提出。</w:t>
      </w:r>
    </w:p>
    <w:p w14:paraId="2358BA07">
      <w:pPr>
        <w:spacing w:line="440" w:lineRule="exact"/>
        <w:ind w:firstLine="420" w:firstLineChars="200"/>
        <w:rPr>
          <w:rFonts w:ascii="宋体" w:hAnsi="宋体" w:cs="宋体"/>
          <w:szCs w:val="21"/>
        </w:rPr>
      </w:pPr>
      <w:r>
        <w:rPr>
          <w:rFonts w:hint="eastAsia" w:ascii="宋体" w:hAnsi="宋体" w:cs="宋体"/>
          <w:szCs w:val="21"/>
        </w:rPr>
        <w:t>7.2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顺延提交首次响应文件截止时间。</w:t>
      </w:r>
    </w:p>
    <w:p w14:paraId="09D5D257">
      <w:pPr>
        <w:spacing w:line="440" w:lineRule="exact"/>
        <w:ind w:firstLine="422" w:firstLineChars="200"/>
        <w:rPr>
          <w:rFonts w:ascii="宋体" w:hAnsi="宋体" w:cs="宋体"/>
          <w:b/>
          <w:szCs w:val="21"/>
        </w:rPr>
      </w:pPr>
      <w:r>
        <w:rPr>
          <w:rFonts w:hint="eastAsia" w:ascii="宋体" w:hAnsi="宋体" w:cs="宋体"/>
          <w:b/>
          <w:szCs w:val="21"/>
        </w:rPr>
        <w:t>三、响应文件的编制</w:t>
      </w:r>
    </w:p>
    <w:p w14:paraId="5526A73B">
      <w:pPr>
        <w:spacing w:line="440" w:lineRule="exact"/>
        <w:ind w:firstLine="422" w:firstLineChars="200"/>
        <w:rPr>
          <w:rFonts w:ascii="宋体" w:hAnsi="宋体" w:cs="宋体"/>
          <w:b/>
          <w:szCs w:val="21"/>
        </w:rPr>
      </w:pPr>
      <w:r>
        <w:rPr>
          <w:rFonts w:hint="eastAsia" w:ascii="宋体" w:hAnsi="宋体" w:cs="宋体"/>
          <w:b/>
          <w:szCs w:val="21"/>
        </w:rPr>
        <w:t>8. 响应文件编制基本要求</w:t>
      </w:r>
    </w:p>
    <w:p w14:paraId="542D8754">
      <w:pPr>
        <w:spacing w:line="440" w:lineRule="exact"/>
        <w:ind w:firstLine="420" w:firstLineChars="200"/>
        <w:rPr>
          <w:rFonts w:ascii="宋体" w:hAnsi="宋体" w:cs="宋体"/>
          <w:szCs w:val="21"/>
        </w:rPr>
      </w:pPr>
      <w:r>
        <w:rPr>
          <w:rFonts w:hint="eastAsia" w:ascii="宋体" w:hAnsi="宋体" w:cs="宋体"/>
          <w:szCs w:val="21"/>
        </w:rPr>
        <w:t>8.1供应商对响应文件的编制应按要求装订和封装。</w:t>
      </w:r>
    </w:p>
    <w:p w14:paraId="268A4CC5">
      <w:pPr>
        <w:spacing w:line="440" w:lineRule="exact"/>
        <w:ind w:firstLine="420" w:firstLineChars="200"/>
        <w:rPr>
          <w:rFonts w:ascii="宋体" w:hAnsi="宋体" w:cs="宋体"/>
          <w:szCs w:val="21"/>
        </w:rPr>
      </w:pPr>
      <w:r>
        <w:rPr>
          <w:rFonts w:hint="eastAsia" w:ascii="宋体" w:hAnsi="宋体" w:cs="宋体"/>
          <w:szCs w:val="21"/>
        </w:rPr>
        <w:t>8.2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08CEB8AE">
      <w:pPr>
        <w:spacing w:line="440" w:lineRule="exact"/>
        <w:ind w:firstLine="420" w:firstLineChars="200"/>
        <w:rPr>
          <w:rFonts w:ascii="宋体" w:hAnsi="宋体" w:cs="宋体"/>
          <w:szCs w:val="21"/>
        </w:rPr>
      </w:pPr>
      <w:r>
        <w:rPr>
          <w:rFonts w:hint="eastAsia" w:ascii="宋体" w:hAnsi="宋体" w:cs="宋体"/>
          <w:szCs w:val="21"/>
        </w:rPr>
        <w:t>8.3供应商应认真阅读、并充分理解本文件的全部内容（包括所有的补充、修改内容），承诺并履行本文件中各项条款规定及要求。</w:t>
      </w:r>
    </w:p>
    <w:p w14:paraId="5C523B7F">
      <w:pPr>
        <w:spacing w:line="440" w:lineRule="exact"/>
        <w:ind w:firstLine="420" w:firstLineChars="200"/>
        <w:rPr>
          <w:rFonts w:ascii="宋体" w:hAnsi="宋体" w:cs="宋体"/>
          <w:szCs w:val="21"/>
        </w:rPr>
      </w:pPr>
      <w:r>
        <w:rPr>
          <w:rFonts w:hint="eastAsia" w:ascii="宋体" w:hAnsi="宋体" w:cs="宋体"/>
          <w:szCs w:val="21"/>
        </w:rPr>
        <w:t>8.4响应文件必须按本文件的全部内容，包括所有的补充通知及附件进行编制。</w:t>
      </w:r>
    </w:p>
    <w:p w14:paraId="23B2661D">
      <w:pPr>
        <w:spacing w:line="440" w:lineRule="exact"/>
        <w:ind w:firstLine="420" w:firstLineChars="200"/>
        <w:rPr>
          <w:rFonts w:ascii="宋体" w:hAnsi="宋体" w:cs="宋体"/>
          <w:szCs w:val="21"/>
        </w:rPr>
      </w:pPr>
      <w:r>
        <w:rPr>
          <w:rFonts w:hint="eastAsia" w:ascii="宋体" w:hAnsi="宋体" w:cs="宋体"/>
          <w:szCs w:val="21"/>
        </w:rPr>
        <w:t>8.5如因供应商只填写和提供了本文件要求的部分内容和附件，而给评审造成困难，其可能导致的结果和责任（包括但不限于被取消磋商资格或磋商无效）由供应商自行承担。</w:t>
      </w:r>
    </w:p>
    <w:p w14:paraId="58322DCF">
      <w:pPr>
        <w:spacing w:line="440" w:lineRule="exact"/>
        <w:ind w:firstLine="422" w:firstLineChars="200"/>
        <w:rPr>
          <w:rFonts w:ascii="宋体" w:hAnsi="宋体" w:cs="宋体"/>
          <w:b/>
          <w:szCs w:val="21"/>
        </w:rPr>
      </w:pPr>
      <w:r>
        <w:rPr>
          <w:rFonts w:hint="eastAsia" w:ascii="宋体" w:hAnsi="宋体" w:cs="宋体"/>
          <w:b/>
          <w:szCs w:val="21"/>
        </w:rPr>
        <w:t>8.6响应文件的组成。</w:t>
      </w:r>
    </w:p>
    <w:p w14:paraId="4ECF146B">
      <w:pPr>
        <w:spacing w:line="440" w:lineRule="exact"/>
        <w:ind w:firstLine="420" w:firstLineChars="200"/>
        <w:rPr>
          <w:rFonts w:ascii="宋体" w:hAnsi="宋体" w:cs="宋体"/>
          <w:szCs w:val="21"/>
        </w:rPr>
      </w:pPr>
      <w:r>
        <w:rPr>
          <w:rFonts w:hint="eastAsia" w:ascii="宋体" w:hAnsi="宋体" w:cs="宋体"/>
          <w:szCs w:val="21"/>
        </w:rPr>
        <w:t>响应文件应分为价格文件和商务技术文件两个部分组成。</w:t>
      </w:r>
    </w:p>
    <w:p w14:paraId="3AD05A87">
      <w:pPr>
        <w:spacing w:line="440" w:lineRule="exact"/>
        <w:ind w:firstLine="420" w:firstLineChars="200"/>
        <w:rPr>
          <w:rFonts w:ascii="宋体" w:hAnsi="宋体" w:cs="宋体"/>
          <w:szCs w:val="21"/>
        </w:rPr>
      </w:pPr>
      <w:r>
        <w:rPr>
          <w:rFonts w:hint="eastAsia" w:ascii="宋体" w:hAnsi="宋体" w:cs="宋体"/>
          <w:szCs w:val="21"/>
        </w:rPr>
        <w:t>8.6.1价格文件：见供应商须知前附表。</w:t>
      </w:r>
    </w:p>
    <w:p w14:paraId="76D1B915">
      <w:pPr>
        <w:spacing w:line="440" w:lineRule="exact"/>
        <w:ind w:firstLine="420" w:firstLineChars="200"/>
        <w:rPr>
          <w:rFonts w:ascii="宋体" w:hAnsi="宋体" w:cs="宋体"/>
          <w:szCs w:val="21"/>
        </w:rPr>
      </w:pPr>
      <w:r>
        <w:rPr>
          <w:rFonts w:hint="eastAsia" w:ascii="宋体" w:hAnsi="宋体" w:cs="宋体"/>
          <w:szCs w:val="21"/>
        </w:rPr>
        <w:t>8.6.2 商务技术文件：见供应商须知前附表。</w:t>
      </w:r>
    </w:p>
    <w:p w14:paraId="18829063">
      <w:pPr>
        <w:spacing w:line="440" w:lineRule="exact"/>
        <w:ind w:firstLine="420" w:firstLineChars="200"/>
        <w:rPr>
          <w:rFonts w:ascii="宋体" w:hAnsi="宋体" w:cs="宋体"/>
          <w:szCs w:val="21"/>
        </w:rPr>
      </w:pPr>
      <w:r>
        <w:rPr>
          <w:rFonts w:hint="eastAsia" w:ascii="宋体" w:hAnsi="宋体" w:cs="宋体"/>
          <w:szCs w:val="21"/>
        </w:rPr>
        <w:t>8.7 响应文件有效期：见供应商须知前附表。</w:t>
      </w:r>
    </w:p>
    <w:p w14:paraId="4887D7E1">
      <w:pPr>
        <w:spacing w:line="440" w:lineRule="exact"/>
        <w:ind w:firstLine="420" w:firstLineChars="200"/>
        <w:rPr>
          <w:rFonts w:ascii="宋体" w:hAnsi="宋体" w:cs="宋体"/>
          <w:szCs w:val="21"/>
        </w:rPr>
      </w:pPr>
      <w:r>
        <w:rPr>
          <w:rFonts w:hint="eastAsia" w:ascii="宋体" w:hAnsi="宋体" w:cs="宋体"/>
          <w:szCs w:val="21"/>
        </w:rPr>
        <w:t>8.8 磋商保证金：见供应商须知前附表。</w:t>
      </w:r>
    </w:p>
    <w:p w14:paraId="2884728C">
      <w:pPr>
        <w:spacing w:line="440" w:lineRule="exact"/>
        <w:ind w:firstLine="422" w:firstLineChars="200"/>
        <w:rPr>
          <w:rFonts w:ascii="宋体" w:hAnsi="宋体" w:cs="宋体"/>
          <w:b/>
          <w:szCs w:val="21"/>
        </w:rPr>
      </w:pPr>
      <w:r>
        <w:rPr>
          <w:rFonts w:hint="eastAsia" w:ascii="宋体" w:hAnsi="宋体" w:cs="宋体"/>
          <w:b/>
          <w:szCs w:val="21"/>
        </w:rPr>
        <w:t>9. 计量单位及报价修正</w:t>
      </w:r>
    </w:p>
    <w:p w14:paraId="7244B020">
      <w:pPr>
        <w:spacing w:line="440" w:lineRule="exact"/>
        <w:ind w:firstLine="420" w:firstLineChars="200"/>
        <w:rPr>
          <w:rFonts w:ascii="宋体" w:hAnsi="宋体" w:cs="宋体"/>
          <w:szCs w:val="21"/>
        </w:rPr>
      </w:pPr>
      <w:r>
        <w:rPr>
          <w:rFonts w:hint="eastAsia" w:ascii="宋体" w:hAnsi="宋体" w:cs="宋体"/>
          <w:szCs w:val="21"/>
        </w:rPr>
        <w:t>9.1计量单位，除技术要求中另有规定外，本文件所要求使用的计量单位均应采用国家法定计量单位。</w:t>
      </w:r>
    </w:p>
    <w:p w14:paraId="06D60A4E">
      <w:pPr>
        <w:spacing w:line="440" w:lineRule="exact"/>
        <w:ind w:firstLine="420" w:firstLineChars="200"/>
        <w:rPr>
          <w:rFonts w:ascii="宋体" w:hAnsi="宋体" w:cs="宋体"/>
          <w:szCs w:val="21"/>
        </w:rPr>
      </w:pPr>
      <w:r>
        <w:rPr>
          <w:rFonts w:hint="eastAsia" w:ascii="宋体" w:hAnsi="宋体" w:cs="宋体"/>
          <w:szCs w:val="21"/>
        </w:rPr>
        <w:t>9.2报价修正</w:t>
      </w:r>
    </w:p>
    <w:p w14:paraId="36A295F0">
      <w:pPr>
        <w:spacing w:line="440" w:lineRule="exact"/>
        <w:ind w:firstLine="420" w:firstLineChars="200"/>
        <w:rPr>
          <w:rFonts w:ascii="宋体" w:hAnsi="宋体" w:cs="宋体"/>
          <w:szCs w:val="21"/>
        </w:rPr>
      </w:pPr>
      <w:r>
        <w:rPr>
          <w:rFonts w:hint="eastAsia" w:ascii="宋体" w:hAnsi="宋体" w:cs="宋体"/>
          <w:szCs w:val="21"/>
        </w:rPr>
        <w:t>（1）大写金额和小写金额不一致的，以大写金额为准；</w:t>
      </w:r>
    </w:p>
    <w:p w14:paraId="12E9CB69">
      <w:pPr>
        <w:spacing w:line="440" w:lineRule="exact"/>
        <w:ind w:firstLine="420" w:firstLineChars="200"/>
        <w:rPr>
          <w:rFonts w:ascii="宋体" w:hAnsi="宋体" w:cs="宋体"/>
          <w:szCs w:val="21"/>
        </w:rPr>
      </w:pPr>
      <w:r>
        <w:rPr>
          <w:rFonts w:hint="eastAsia" w:ascii="宋体" w:hAnsi="宋体" w:cs="宋体"/>
          <w:szCs w:val="21"/>
        </w:rPr>
        <w:t>（2）单价金额小数点或者百分比有明显错位的，以总价为准，并修改单价；</w:t>
      </w:r>
    </w:p>
    <w:p w14:paraId="6F3CF6C4">
      <w:pPr>
        <w:spacing w:line="440" w:lineRule="exact"/>
        <w:ind w:firstLine="420" w:firstLineChars="200"/>
        <w:rPr>
          <w:rFonts w:ascii="宋体" w:hAnsi="宋体" w:cs="宋体"/>
          <w:szCs w:val="21"/>
        </w:rPr>
      </w:pPr>
      <w:r>
        <w:rPr>
          <w:rFonts w:hint="eastAsia" w:ascii="宋体" w:hAnsi="宋体" w:cs="宋体"/>
          <w:szCs w:val="21"/>
        </w:rPr>
        <w:t>（3）总价金额与按单价汇总金额不一致的，以单价金额计算结果为准。</w:t>
      </w:r>
    </w:p>
    <w:p w14:paraId="2C69A906">
      <w:pPr>
        <w:spacing w:line="44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同时出现两种以上不一致的，按照前款规定的顺序修正。修正后的报价经供应商确认后产生约束力，供应商不确认的，其响应无效。修正后的最终报价若超过采购预算金额，供应商的响应文件作无效响应处理。</w:t>
      </w:r>
    </w:p>
    <w:p w14:paraId="2CAD3639">
      <w:pPr>
        <w:spacing w:line="440" w:lineRule="exact"/>
        <w:ind w:firstLine="422" w:firstLineChars="200"/>
        <w:rPr>
          <w:rFonts w:ascii="宋体" w:hAnsi="宋体" w:cs="宋体"/>
          <w:b/>
          <w:szCs w:val="21"/>
        </w:rPr>
      </w:pPr>
      <w:r>
        <w:rPr>
          <w:rFonts w:hint="eastAsia" w:ascii="宋体" w:hAnsi="宋体" w:cs="宋体"/>
          <w:b/>
          <w:szCs w:val="21"/>
        </w:rPr>
        <w:t>10.响应文件有效期</w:t>
      </w:r>
    </w:p>
    <w:p w14:paraId="5ECD6EEC">
      <w:pPr>
        <w:spacing w:line="440" w:lineRule="exact"/>
        <w:ind w:firstLine="420" w:firstLineChars="200"/>
        <w:rPr>
          <w:rFonts w:ascii="宋体" w:hAnsi="宋体" w:cs="宋体"/>
          <w:szCs w:val="21"/>
        </w:rPr>
      </w:pPr>
      <w:r>
        <w:rPr>
          <w:rFonts w:hint="eastAsia" w:ascii="宋体" w:hAnsi="宋体" w:cs="宋体"/>
          <w:szCs w:val="21"/>
        </w:rPr>
        <w:t>10.1响应文件有效期按须知前附表规定的期限，有效期不足的响应文件按无效处理。</w:t>
      </w:r>
    </w:p>
    <w:p w14:paraId="693E4180">
      <w:pPr>
        <w:spacing w:line="440" w:lineRule="exact"/>
        <w:ind w:firstLine="420" w:firstLineChars="200"/>
        <w:rPr>
          <w:rFonts w:ascii="宋体" w:hAnsi="宋体" w:cs="宋体"/>
          <w:szCs w:val="21"/>
        </w:rPr>
      </w:pPr>
      <w:r>
        <w:rPr>
          <w:rFonts w:hint="eastAsia" w:ascii="宋体" w:hAnsi="宋体" w:cs="宋体"/>
          <w:szCs w:val="21"/>
        </w:rPr>
        <w:t>10.2未成交的响应文件有效期内均应保持有效。</w:t>
      </w:r>
    </w:p>
    <w:p w14:paraId="11E7EC61">
      <w:pPr>
        <w:spacing w:line="440" w:lineRule="exact"/>
        <w:ind w:firstLine="420" w:firstLineChars="200"/>
        <w:rPr>
          <w:rFonts w:ascii="宋体" w:hAnsi="宋体" w:cs="宋体"/>
          <w:szCs w:val="21"/>
        </w:rPr>
      </w:pPr>
      <w:r>
        <w:rPr>
          <w:rFonts w:hint="eastAsia" w:ascii="宋体" w:hAnsi="宋体" w:cs="宋体"/>
          <w:szCs w:val="21"/>
        </w:rPr>
        <w:t>10.3成交供应商的响应文件自响应文件递交截止之日起至合同全部义务履行完毕之日止均应保持有效。</w:t>
      </w:r>
    </w:p>
    <w:p w14:paraId="128E6673">
      <w:pPr>
        <w:spacing w:line="440" w:lineRule="exact"/>
        <w:ind w:firstLine="422" w:firstLineChars="200"/>
        <w:rPr>
          <w:rFonts w:ascii="宋体" w:hAnsi="宋体" w:cs="宋体"/>
          <w:b/>
          <w:szCs w:val="21"/>
        </w:rPr>
      </w:pPr>
      <w:r>
        <w:rPr>
          <w:rFonts w:hint="eastAsia" w:ascii="宋体" w:hAnsi="宋体" w:cs="宋体"/>
          <w:b/>
          <w:szCs w:val="21"/>
        </w:rPr>
        <w:t>11.磋商保证金</w:t>
      </w:r>
    </w:p>
    <w:p w14:paraId="1A1ECEEC">
      <w:pPr>
        <w:spacing w:line="440" w:lineRule="exact"/>
        <w:ind w:firstLine="420" w:firstLineChars="200"/>
        <w:rPr>
          <w:rFonts w:ascii="宋体" w:hAnsi="宋体" w:cs="宋体"/>
          <w:szCs w:val="21"/>
        </w:rPr>
      </w:pPr>
      <w:r>
        <w:rPr>
          <w:rFonts w:hint="eastAsia" w:ascii="宋体" w:hAnsi="宋体" w:cs="宋体"/>
          <w:szCs w:val="21"/>
        </w:rPr>
        <w:t>11.1如采购文件要求交纳磋商保证金的，供应商必须按须知前附表的规定交纳磋商保证金，否则其响应文件按无效响应处理。</w:t>
      </w:r>
    </w:p>
    <w:p w14:paraId="7C56E06E">
      <w:pPr>
        <w:spacing w:line="440" w:lineRule="exact"/>
        <w:ind w:firstLine="420" w:firstLineChars="200"/>
        <w:rPr>
          <w:rFonts w:ascii="宋体" w:hAnsi="宋体" w:cs="宋体"/>
          <w:szCs w:val="21"/>
        </w:rPr>
      </w:pPr>
      <w:r>
        <w:rPr>
          <w:rFonts w:hint="eastAsia" w:ascii="宋体" w:hAnsi="宋体" w:cs="宋体"/>
          <w:szCs w:val="21"/>
        </w:rPr>
        <w:t>11.2磋商保证金交纳方式：按须知前附表的规定。</w:t>
      </w:r>
    </w:p>
    <w:p w14:paraId="153B3270">
      <w:pPr>
        <w:spacing w:line="440" w:lineRule="exact"/>
        <w:ind w:firstLine="420" w:firstLineChars="200"/>
        <w:rPr>
          <w:rFonts w:ascii="宋体" w:hAnsi="宋体" w:cs="宋体"/>
          <w:szCs w:val="21"/>
        </w:rPr>
      </w:pPr>
      <w:r>
        <w:rPr>
          <w:rFonts w:hint="eastAsia" w:ascii="宋体" w:hAnsi="宋体" w:cs="宋体"/>
          <w:szCs w:val="21"/>
        </w:rPr>
        <w:t>11.</w:t>
      </w:r>
      <w:r>
        <w:rPr>
          <w:rFonts w:ascii="宋体" w:hAnsi="宋体" w:cs="宋体"/>
          <w:szCs w:val="21"/>
        </w:rPr>
        <w:t>3</w:t>
      </w:r>
      <w:r>
        <w:rPr>
          <w:rFonts w:hint="eastAsia" w:ascii="宋体" w:hAnsi="宋体" w:cs="宋体"/>
          <w:szCs w:val="21"/>
        </w:rPr>
        <w:t>磋商保证金交纳金额：按须知前附表的规定。</w:t>
      </w:r>
    </w:p>
    <w:p w14:paraId="11CED99E">
      <w:pPr>
        <w:spacing w:line="440" w:lineRule="exact"/>
        <w:ind w:firstLine="420" w:firstLineChars="200"/>
        <w:rPr>
          <w:rFonts w:ascii="宋体" w:hAnsi="宋体" w:cs="宋体"/>
          <w:szCs w:val="21"/>
        </w:rPr>
      </w:pPr>
      <w:r>
        <w:rPr>
          <w:rFonts w:hint="eastAsia" w:ascii="宋体" w:hAnsi="宋体" w:cs="宋体"/>
          <w:szCs w:val="21"/>
        </w:rPr>
        <w:t>11.</w:t>
      </w:r>
      <w:r>
        <w:rPr>
          <w:rFonts w:ascii="宋体" w:hAnsi="宋体" w:cs="宋体"/>
          <w:szCs w:val="21"/>
        </w:rPr>
        <w:t>4</w:t>
      </w:r>
      <w:r>
        <w:rPr>
          <w:rFonts w:hint="eastAsia" w:ascii="宋体" w:hAnsi="宋体" w:cs="宋体"/>
          <w:szCs w:val="21"/>
        </w:rPr>
        <w:t>磋商保证金交纳截止时间：按须知前附表的规定。</w:t>
      </w:r>
    </w:p>
    <w:p w14:paraId="75B23597">
      <w:pPr>
        <w:spacing w:line="440" w:lineRule="exact"/>
        <w:ind w:firstLine="420" w:firstLineChars="200"/>
        <w:rPr>
          <w:rFonts w:ascii="宋体" w:hAnsi="宋体" w:cs="宋体"/>
          <w:szCs w:val="21"/>
        </w:rPr>
      </w:pPr>
      <w:r>
        <w:rPr>
          <w:rFonts w:hint="eastAsia" w:ascii="宋体" w:hAnsi="宋体" w:cs="宋体"/>
          <w:szCs w:val="21"/>
        </w:rPr>
        <w:t>11.</w:t>
      </w:r>
      <w:r>
        <w:rPr>
          <w:rFonts w:ascii="宋体" w:hAnsi="宋体" w:cs="宋体"/>
          <w:szCs w:val="21"/>
        </w:rPr>
        <w:t>5</w:t>
      </w:r>
      <w:r>
        <w:rPr>
          <w:rFonts w:hint="eastAsia" w:ascii="宋体" w:hAnsi="宋体" w:cs="宋体"/>
          <w:szCs w:val="21"/>
        </w:rPr>
        <w:t>磋商保证金必须从供应商银行账户转出并到达指定银行账户</w:t>
      </w:r>
    </w:p>
    <w:p w14:paraId="2514E79F">
      <w:pPr>
        <w:spacing w:line="440" w:lineRule="exact"/>
        <w:ind w:firstLine="422" w:firstLineChars="200"/>
        <w:rPr>
          <w:rFonts w:ascii="宋体" w:hAnsi="宋体" w:cs="宋体"/>
          <w:b/>
          <w:bCs/>
          <w:szCs w:val="21"/>
        </w:rPr>
      </w:pPr>
      <w:r>
        <w:rPr>
          <w:rFonts w:hint="eastAsia" w:ascii="宋体" w:hAnsi="宋体" w:cs="宋体"/>
          <w:b/>
          <w:bCs/>
          <w:szCs w:val="21"/>
        </w:rPr>
        <w:t>开户名称：广西正海招标有限公司</w:t>
      </w:r>
    </w:p>
    <w:p w14:paraId="5B6E62C2">
      <w:pPr>
        <w:spacing w:line="440" w:lineRule="exact"/>
        <w:ind w:firstLine="422" w:firstLineChars="200"/>
        <w:rPr>
          <w:rFonts w:ascii="宋体" w:hAnsi="宋体" w:cs="宋体"/>
          <w:b/>
          <w:bCs/>
          <w:szCs w:val="21"/>
        </w:rPr>
      </w:pPr>
      <w:r>
        <w:rPr>
          <w:rFonts w:hint="eastAsia" w:ascii="宋体" w:hAnsi="宋体" w:cs="宋体"/>
          <w:b/>
          <w:bCs/>
          <w:szCs w:val="21"/>
        </w:rPr>
        <w:t>开户银行：广西北部湾银行南宁市兴宁支行</w:t>
      </w:r>
    </w:p>
    <w:p w14:paraId="518DD5A9">
      <w:pPr>
        <w:spacing w:line="440" w:lineRule="exact"/>
        <w:ind w:firstLine="422" w:firstLineChars="200"/>
        <w:rPr>
          <w:rFonts w:ascii="宋体" w:hAnsi="宋体" w:cs="宋体"/>
          <w:b/>
          <w:bCs/>
          <w:szCs w:val="21"/>
        </w:rPr>
      </w:pPr>
      <w:r>
        <w:rPr>
          <w:rFonts w:hint="eastAsia" w:ascii="宋体" w:hAnsi="宋体" w:cs="宋体"/>
          <w:b/>
          <w:bCs/>
          <w:szCs w:val="21"/>
        </w:rPr>
        <w:t>银行账号：800105504300012</w:t>
      </w:r>
    </w:p>
    <w:p w14:paraId="17E783FE">
      <w:pPr>
        <w:spacing w:line="440" w:lineRule="exact"/>
        <w:ind w:firstLine="420" w:firstLineChars="200"/>
        <w:rPr>
          <w:rFonts w:ascii="宋体" w:hAnsi="宋体" w:cs="宋体"/>
          <w:szCs w:val="21"/>
        </w:rPr>
      </w:pPr>
      <w:r>
        <w:rPr>
          <w:rFonts w:hint="eastAsia" w:ascii="宋体" w:hAnsi="宋体" w:cs="宋体"/>
          <w:szCs w:val="21"/>
        </w:rPr>
        <w:t>否则，其响应文件按无效响应处理。</w:t>
      </w:r>
      <w:r>
        <w:rPr>
          <w:rFonts w:hint="eastAsia" w:ascii="宋体" w:hAnsi="宋体" w:cs="宋体"/>
          <w:b/>
          <w:szCs w:val="21"/>
        </w:rPr>
        <w:t>本项目不接受现金形式或从个人账户（自然人竞标的除外）转出的磋商保证金。</w:t>
      </w:r>
    </w:p>
    <w:p w14:paraId="0044C4B3">
      <w:pPr>
        <w:spacing w:line="440" w:lineRule="exact"/>
        <w:ind w:firstLine="420" w:firstLineChars="200"/>
        <w:rPr>
          <w:rFonts w:ascii="宋体" w:hAnsi="宋体" w:cs="宋体"/>
          <w:szCs w:val="21"/>
        </w:rPr>
      </w:pPr>
      <w:r>
        <w:rPr>
          <w:rFonts w:hint="eastAsia" w:ascii="宋体" w:hAnsi="宋体" w:cs="宋体"/>
          <w:szCs w:val="21"/>
        </w:rPr>
        <w:t>11.6磋商保证金的退还均以转账形式退回到供应商原付款银行账户。</w:t>
      </w:r>
    </w:p>
    <w:p w14:paraId="3E4DAD75">
      <w:pPr>
        <w:spacing w:line="440" w:lineRule="exact"/>
        <w:ind w:firstLine="420" w:firstLineChars="200"/>
        <w:rPr>
          <w:rFonts w:ascii="宋体" w:hAnsi="宋体" w:cs="宋体"/>
          <w:szCs w:val="21"/>
        </w:rPr>
      </w:pPr>
      <w:r>
        <w:rPr>
          <w:rFonts w:hint="eastAsia" w:ascii="宋体" w:hAnsi="宋体" w:cs="宋体"/>
          <w:szCs w:val="21"/>
        </w:rPr>
        <w:t>11.6.1未成交供应商的磋商保证金在成交通知书发出后五个工作日内无息退还。</w:t>
      </w:r>
    </w:p>
    <w:p w14:paraId="73A8699E">
      <w:pPr>
        <w:spacing w:line="440" w:lineRule="exact"/>
        <w:ind w:firstLine="420" w:firstLineChars="200"/>
        <w:rPr>
          <w:rFonts w:ascii="宋体" w:hAnsi="宋体" w:cs="宋体"/>
          <w:b/>
          <w:szCs w:val="21"/>
        </w:rPr>
      </w:pPr>
      <w:r>
        <w:rPr>
          <w:rFonts w:hint="eastAsia" w:ascii="宋体" w:hAnsi="宋体" w:cs="宋体"/>
          <w:szCs w:val="21"/>
        </w:rPr>
        <w:t>11.6.2成交供应商的磋商保证金在成交供应商与采购人签订合同并送合同给代理机构存档后五个工作日内退还。</w:t>
      </w:r>
    </w:p>
    <w:p w14:paraId="3621BD61">
      <w:pPr>
        <w:spacing w:line="440" w:lineRule="exact"/>
        <w:ind w:firstLine="422" w:firstLineChars="200"/>
        <w:rPr>
          <w:rFonts w:ascii="宋体" w:hAnsi="宋体" w:cs="宋体"/>
          <w:b/>
          <w:szCs w:val="21"/>
        </w:rPr>
      </w:pPr>
      <w:r>
        <w:rPr>
          <w:rFonts w:hint="eastAsia" w:ascii="宋体" w:hAnsi="宋体" w:cs="宋体"/>
          <w:b/>
          <w:szCs w:val="21"/>
        </w:rPr>
        <w:t>11.7供应商有下列情形之一的，磋商保证金将不予退还：</w:t>
      </w:r>
    </w:p>
    <w:p w14:paraId="69C8E0EE">
      <w:pPr>
        <w:widowControl/>
        <w:spacing w:line="440" w:lineRule="exact"/>
        <w:ind w:firstLine="420" w:firstLineChars="200"/>
        <w:jc w:val="left"/>
        <w:rPr>
          <w:rFonts w:ascii="宋体" w:hAnsi="宋体" w:cs="宋体"/>
          <w:szCs w:val="21"/>
        </w:rPr>
      </w:pPr>
      <w:r>
        <w:rPr>
          <w:rFonts w:hint="eastAsia" w:ascii="宋体" w:hAnsi="宋体" w:cs="宋体"/>
          <w:szCs w:val="21"/>
        </w:rPr>
        <w:t>（1）供应商在提交响应文件截止时间后撤回响应文件的；</w:t>
      </w:r>
    </w:p>
    <w:p w14:paraId="3520B20F">
      <w:pPr>
        <w:widowControl/>
        <w:spacing w:line="440" w:lineRule="exact"/>
        <w:ind w:firstLine="420" w:firstLineChars="200"/>
        <w:jc w:val="left"/>
        <w:rPr>
          <w:rFonts w:ascii="宋体" w:hAnsi="宋体" w:cs="宋体"/>
          <w:szCs w:val="21"/>
        </w:rPr>
      </w:pPr>
      <w:r>
        <w:rPr>
          <w:rFonts w:hint="eastAsia" w:ascii="宋体" w:hAnsi="宋体" w:cs="宋体"/>
          <w:szCs w:val="21"/>
        </w:rPr>
        <w:t>（2）供应商在响应文件中提供虚假材料的；</w:t>
      </w:r>
    </w:p>
    <w:p w14:paraId="0BF6EE58">
      <w:pPr>
        <w:widowControl/>
        <w:spacing w:line="440" w:lineRule="exact"/>
        <w:ind w:firstLine="420" w:firstLineChars="200"/>
        <w:jc w:val="left"/>
        <w:rPr>
          <w:rFonts w:ascii="宋体" w:hAnsi="宋体" w:cs="宋体"/>
          <w:szCs w:val="21"/>
        </w:rPr>
      </w:pPr>
      <w:r>
        <w:rPr>
          <w:rFonts w:hint="eastAsia" w:ascii="宋体" w:hAnsi="宋体" w:cs="宋体"/>
          <w:szCs w:val="21"/>
        </w:rPr>
        <w:t>（3）除因不可抗力或磋商文件认可的情形以外，成交供应商不与采购人签订合同的；</w:t>
      </w:r>
    </w:p>
    <w:p w14:paraId="691FEFBF">
      <w:pPr>
        <w:widowControl/>
        <w:spacing w:line="440" w:lineRule="exact"/>
        <w:ind w:firstLine="420" w:firstLineChars="200"/>
        <w:jc w:val="left"/>
        <w:rPr>
          <w:rFonts w:ascii="宋体" w:hAnsi="宋体" w:cs="宋体"/>
          <w:szCs w:val="21"/>
        </w:rPr>
      </w:pPr>
      <w:r>
        <w:rPr>
          <w:rFonts w:hint="eastAsia" w:ascii="宋体" w:hAnsi="宋体" w:cs="宋体"/>
          <w:szCs w:val="21"/>
        </w:rPr>
        <w:t>（4）供应商与采购人、其他供应商或者采购代理机构恶意串通的；</w:t>
      </w:r>
    </w:p>
    <w:p w14:paraId="6E24891B">
      <w:pPr>
        <w:widowControl/>
        <w:spacing w:line="440" w:lineRule="exact"/>
        <w:ind w:firstLine="420" w:firstLineChars="200"/>
        <w:jc w:val="left"/>
        <w:rPr>
          <w:rFonts w:ascii="宋体" w:hAnsi="宋体" w:cs="宋体"/>
          <w:szCs w:val="21"/>
        </w:rPr>
      </w:pPr>
      <w:r>
        <w:rPr>
          <w:rFonts w:hint="eastAsia" w:ascii="宋体" w:hAnsi="宋体" w:cs="宋体"/>
          <w:szCs w:val="21"/>
        </w:rPr>
        <w:t>（5）法律和磋商文件规定的其他情形。</w:t>
      </w:r>
    </w:p>
    <w:p w14:paraId="76057760">
      <w:pPr>
        <w:spacing w:line="440" w:lineRule="exact"/>
        <w:ind w:firstLine="422" w:firstLineChars="200"/>
        <w:rPr>
          <w:rFonts w:ascii="宋体" w:hAnsi="宋体" w:cs="宋体"/>
          <w:b/>
          <w:szCs w:val="21"/>
        </w:rPr>
      </w:pPr>
      <w:r>
        <w:rPr>
          <w:rFonts w:hint="eastAsia" w:ascii="宋体" w:hAnsi="宋体" w:cs="宋体"/>
          <w:b/>
          <w:szCs w:val="21"/>
        </w:rPr>
        <w:t>12. 磋商报价要求</w:t>
      </w:r>
    </w:p>
    <w:p w14:paraId="679E010D">
      <w:pPr>
        <w:spacing w:line="440" w:lineRule="exact"/>
        <w:ind w:firstLine="420" w:firstLineChars="200"/>
        <w:rPr>
          <w:rFonts w:ascii="宋体" w:hAnsi="宋体" w:cs="宋体"/>
          <w:szCs w:val="21"/>
        </w:rPr>
      </w:pPr>
      <w:r>
        <w:rPr>
          <w:rFonts w:hint="eastAsia" w:ascii="宋体" w:hAnsi="宋体" w:cs="宋体"/>
          <w:szCs w:val="21"/>
        </w:rPr>
        <w:t>12.1磋商报价：供应商必须就所磋商项目的全部内容作完整唯一报价，漏项报价的或有选择的或有条件的报价，其磋商报价将视为无效。</w:t>
      </w:r>
    </w:p>
    <w:p w14:paraId="5383C765">
      <w:pPr>
        <w:spacing w:line="440" w:lineRule="exact"/>
        <w:ind w:firstLine="420" w:firstLineChars="200"/>
        <w:rPr>
          <w:rFonts w:ascii="宋体" w:hAnsi="宋体" w:cs="宋体"/>
          <w:szCs w:val="21"/>
        </w:rPr>
      </w:pPr>
      <w:r>
        <w:rPr>
          <w:rFonts w:hint="eastAsia" w:ascii="宋体" w:hAnsi="宋体" w:cs="宋体"/>
          <w:szCs w:val="21"/>
        </w:rPr>
        <w:t>12.2 对于本文件中未列明，而供应商认为必需的费用也需列入总报价。在合同实施时，采购人将不予支付成交供应商没有列入的项目费用，并认为此项目的费用已包括在总报价中。</w:t>
      </w:r>
    </w:p>
    <w:p w14:paraId="4F4B0030">
      <w:pPr>
        <w:spacing w:line="440" w:lineRule="exact"/>
        <w:ind w:firstLine="420" w:firstLineChars="200"/>
        <w:rPr>
          <w:rFonts w:ascii="宋体" w:hAnsi="宋体" w:cs="宋体"/>
          <w:szCs w:val="21"/>
        </w:rPr>
      </w:pPr>
      <w:r>
        <w:rPr>
          <w:rFonts w:hint="eastAsia" w:ascii="宋体" w:hAnsi="宋体" w:cs="宋体"/>
          <w:szCs w:val="21"/>
        </w:rPr>
        <w:t>12.3成交供应商负责本项目所需服务的全部工作。</w:t>
      </w:r>
    </w:p>
    <w:p w14:paraId="2650F018">
      <w:pPr>
        <w:spacing w:line="440" w:lineRule="exact"/>
        <w:ind w:firstLine="422" w:firstLineChars="200"/>
        <w:rPr>
          <w:rFonts w:ascii="宋体" w:hAnsi="宋体" w:cs="宋体"/>
          <w:b/>
          <w:szCs w:val="21"/>
        </w:rPr>
      </w:pPr>
      <w:r>
        <w:rPr>
          <w:rFonts w:hint="eastAsia" w:ascii="宋体" w:hAnsi="宋体" w:cs="宋体"/>
          <w:b/>
          <w:szCs w:val="21"/>
        </w:rPr>
        <w:t>13.响应文件的份数、封装和递交</w:t>
      </w:r>
    </w:p>
    <w:p w14:paraId="47B7D1E0">
      <w:pPr>
        <w:spacing w:line="440" w:lineRule="exact"/>
        <w:ind w:firstLine="420" w:firstLineChars="200"/>
        <w:rPr>
          <w:rFonts w:ascii="宋体" w:hAnsi="宋体" w:cs="宋体"/>
          <w:szCs w:val="21"/>
        </w:rPr>
      </w:pPr>
      <w:r>
        <w:rPr>
          <w:rFonts w:hint="eastAsia" w:ascii="宋体" w:hAnsi="宋体" w:cs="宋体"/>
          <w:szCs w:val="21"/>
        </w:rPr>
        <w:t>13.1 磋商响应文件的份数和封装</w:t>
      </w:r>
    </w:p>
    <w:p w14:paraId="71035494">
      <w:pPr>
        <w:spacing w:line="440" w:lineRule="exact"/>
        <w:ind w:firstLine="420" w:firstLineChars="200"/>
        <w:rPr>
          <w:rFonts w:ascii="宋体" w:hAnsi="宋体" w:cs="宋体"/>
          <w:szCs w:val="21"/>
        </w:rPr>
      </w:pPr>
      <w:r>
        <w:rPr>
          <w:rFonts w:hint="eastAsia" w:ascii="宋体" w:hAnsi="宋体" w:cs="宋体"/>
          <w:szCs w:val="21"/>
        </w:rPr>
        <w:t>13.1.1正本一份、副本三份（正本与副本不一致的，以正本为准），供应商应将响应文件中“价格文件、商务技术文件”合并装成一本。一并将响应文件封装在一个外层密封信封中。封口处必须加盖供应商公章或由供应商法定代表人（或委托代理人）签字以示密封，未按规定密封或标记的响应文件将被拒绝接收，由此造成的后果由供应商承担。</w:t>
      </w:r>
    </w:p>
    <w:p w14:paraId="1080AA1C">
      <w:pPr>
        <w:spacing w:line="440" w:lineRule="exact"/>
        <w:ind w:firstLine="420" w:firstLineChars="200"/>
        <w:rPr>
          <w:rFonts w:ascii="宋体" w:hAnsi="宋体" w:cs="宋体"/>
          <w:szCs w:val="21"/>
        </w:rPr>
      </w:pPr>
      <w:r>
        <w:rPr>
          <w:rFonts w:hint="eastAsia" w:ascii="宋体" w:hAnsi="宋体" w:cs="宋体"/>
          <w:szCs w:val="21"/>
        </w:rPr>
        <w:t>13.1.2响应文件的外层封装上应写明：</w:t>
      </w:r>
    </w:p>
    <w:p w14:paraId="12BBBDFE">
      <w:pPr>
        <w:spacing w:line="440" w:lineRule="exact"/>
        <w:ind w:firstLine="420" w:firstLineChars="200"/>
        <w:rPr>
          <w:rFonts w:ascii="宋体" w:hAnsi="宋体" w:cs="宋体"/>
          <w:szCs w:val="21"/>
        </w:rPr>
      </w:pPr>
      <w:r>
        <w:rPr>
          <w:rFonts w:hint="eastAsia" w:ascii="宋体" w:hAnsi="宋体" w:cs="宋体"/>
          <w:szCs w:val="21"/>
        </w:rPr>
        <w:t>（1）竞争性磋商项目编号；</w:t>
      </w:r>
    </w:p>
    <w:p w14:paraId="07435A55">
      <w:pPr>
        <w:spacing w:line="440" w:lineRule="exact"/>
        <w:ind w:firstLine="420" w:firstLineChars="200"/>
        <w:rPr>
          <w:rFonts w:ascii="宋体" w:hAnsi="宋体" w:cs="宋体"/>
          <w:szCs w:val="21"/>
        </w:rPr>
      </w:pPr>
      <w:r>
        <w:rPr>
          <w:rFonts w:hint="eastAsia" w:ascii="宋体" w:hAnsi="宋体" w:cs="宋体"/>
          <w:szCs w:val="21"/>
        </w:rPr>
        <w:t>（2）竞争性磋商项目名称；</w:t>
      </w:r>
    </w:p>
    <w:p w14:paraId="3A7E75E2">
      <w:pPr>
        <w:spacing w:line="440" w:lineRule="exact"/>
        <w:ind w:firstLine="420" w:firstLineChars="200"/>
        <w:rPr>
          <w:rFonts w:ascii="宋体" w:hAnsi="宋体" w:cs="宋体"/>
          <w:szCs w:val="21"/>
        </w:rPr>
      </w:pPr>
      <w:r>
        <w:rPr>
          <w:rFonts w:hint="eastAsia" w:ascii="宋体" w:hAnsi="宋体" w:cs="宋体"/>
          <w:szCs w:val="21"/>
        </w:rPr>
        <w:t>（3）供应商名称、地址、邮编。</w:t>
      </w:r>
    </w:p>
    <w:p w14:paraId="296E9326">
      <w:pPr>
        <w:spacing w:line="440" w:lineRule="exact"/>
        <w:ind w:firstLine="420" w:firstLineChars="200"/>
        <w:rPr>
          <w:rFonts w:ascii="宋体" w:hAnsi="宋体" w:cs="宋体"/>
          <w:szCs w:val="21"/>
        </w:rPr>
      </w:pPr>
      <w:r>
        <w:rPr>
          <w:rFonts w:hint="eastAsia" w:ascii="宋体" w:hAnsi="宋体" w:cs="宋体"/>
          <w:szCs w:val="21"/>
        </w:rPr>
        <w:t>13.1.3电子响应文件：无需提供。</w:t>
      </w:r>
    </w:p>
    <w:p w14:paraId="2ABE0894">
      <w:pPr>
        <w:spacing w:line="440" w:lineRule="exact"/>
        <w:ind w:firstLine="420" w:firstLineChars="200"/>
        <w:rPr>
          <w:rFonts w:ascii="宋体" w:hAnsi="宋体" w:cs="宋体"/>
          <w:szCs w:val="21"/>
        </w:rPr>
      </w:pPr>
      <w:r>
        <w:rPr>
          <w:rFonts w:hint="eastAsia" w:ascii="宋体" w:hAnsi="宋体" w:cs="宋体"/>
          <w:szCs w:val="21"/>
        </w:rPr>
        <w:t>13.2 响应文件的递交</w:t>
      </w:r>
    </w:p>
    <w:p w14:paraId="59A720CF">
      <w:pPr>
        <w:spacing w:line="440" w:lineRule="exact"/>
        <w:ind w:firstLine="420" w:firstLineChars="200"/>
        <w:rPr>
          <w:rFonts w:ascii="宋体" w:hAnsi="宋体" w:cs="宋体"/>
          <w:szCs w:val="21"/>
        </w:rPr>
      </w:pPr>
      <w:r>
        <w:rPr>
          <w:rFonts w:hint="eastAsia" w:ascii="宋体" w:hAnsi="宋体" w:cs="宋体"/>
          <w:szCs w:val="21"/>
        </w:rPr>
        <w:t>13.2.1响应文件须于竞争性磋商文件中规定的时间前递交到指定地点位置。</w:t>
      </w:r>
    </w:p>
    <w:p w14:paraId="5C6C05C9">
      <w:pPr>
        <w:spacing w:line="440" w:lineRule="exact"/>
        <w:ind w:firstLine="420" w:firstLineChars="200"/>
        <w:rPr>
          <w:rFonts w:ascii="宋体" w:hAnsi="宋体" w:cs="宋体"/>
          <w:szCs w:val="21"/>
        </w:rPr>
      </w:pPr>
      <w:r>
        <w:rPr>
          <w:rFonts w:hint="eastAsia" w:ascii="宋体" w:hAnsi="宋体" w:cs="宋体"/>
          <w:szCs w:val="21"/>
        </w:rPr>
        <w:t>13.2.2递交响应文件的地点：见“供应商须知前附表”。</w:t>
      </w:r>
    </w:p>
    <w:p w14:paraId="19D41E12">
      <w:pPr>
        <w:spacing w:line="440" w:lineRule="exact"/>
        <w:ind w:firstLine="420" w:firstLineChars="200"/>
        <w:rPr>
          <w:rFonts w:ascii="宋体" w:hAnsi="宋体" w:cs="宋体"/>
          <w:szCs w:val="21"/>
        </w:rPr>
      </w:pPr>
      <w:r>
        <w:rPr>
          <w:rFonts w:hint="eastAsia" w:ascii="宋体" w:hAnsi="宋体" w:cs="宋体"/>
          <w:szCs w:val="21"/>
        </w:rPr>
        <w:t>13.2.3 供应商在提交响应文件截止时间前，可以对所提交的响应文件进行补充、修改或者撤回，并书面通知采购人、采购代理机构。补充、修改的内容作为响应文件的组成部分。补充、修改的内容与响应文件不一致的，以有效的且时间最后的补充、修改的内容为准。</w:t>
      </w:r>
    </w:p>
    <w:p w14:paraId="653D7F8D">
      <w:pPr>
        <w:spacing w:line="440" w:lineRule="exact"/>
        <w:ind w:firstLine="420" w:firstLineChars="200"/>
        <w:rPr>
          <w:rFonts w:ascii="宋体" w:hAnsi="宋体" w:cs="宋体"/>
          <w:szCs w:val="21"/>
        </w:rPr>
      </w:pPr>
      <w:r>
        <w:rPr>
          <w:rFonts w:hint="eastAsia" w:ascii="宋体" w:hAnsi="宋体" w:cs="宋体"/>
          <w:szCs w:val="21"/>
        </w:rPr>
        <w:t>13.2.4迟交的响应文件</w:t>
      </w:r>
    </w:p>
    <w:p w14:paraId="53BD257F">
      <w:pPr>
        <w:spacing w:line="440" w:lineRule="exact"/>
        <w:ind w:firstLine="420" w:firstLineChars="200"/>
        <w:rPr>
          <w:rFonts w:ascii="宋体" w:hAnsi="宋体" w:cs="宋体"/>
          <w:szCs w:val="21"/>
        </w:rPr>
      </w:pPr>
      <w:r>
        <w:rPr>
          <w:rFonts w:hint="eastAsia" w:ascii="宋体" w:hAnsi="宋体" w:cs="宋体"/>
          <w:szCs w:val="21"/>
        </w:rPr>
        <w:t>逾期送达的或者未送达指定地点的响应文件，采购代理机构拒绝接收。</w:t>
      </w:r>
    </w:p>
    <w:p w14:paraId="27992899">
      <w:pPr>
        <w:spacing w:line="440" w:lineRule="exact"/>
        <w:ind w:firstLine="422" w:firstLineChars="200"/>
        <w:rPr>
          <w:rFonts w:ascii="宋体" w:hAnsi="宋体" w:cs="宋体"/>
          <w:b/>
          <w:szCs w:val="21"/>
        </w:rPr>
      </w:pPr>
      <w:r>
        <w:rPr>
          <w:rFonts w:hint="eastAsia" w:ascii="宋体" w:hAnsi="宋体" w:cs="宋体"/>
          <w:b/>
          <w:szCs w:val="21"/>
        </w:rPr>
        <w:t>四、响应文件评审程序</w:t>
      </w:r>
    </w:p>
    <w:p w14:paraId="437DD03C">
      <w:pPr>
        <w:spacing w:line="440" w:lineRule="exact"/>
        <w:ind w:firstLine="422" w:firstLineChars="200"/>
        <w:rPr>
          <w:rFonts w:ascii="宋体" w:hAnsi="宋体" w:cs="宋体"/>
          <w:b/>
          <w:kern w:val="0"/>
          <w:szCs w:val="21"/>
        </w:rPr>
      </w:pPr>
      <w:r>
        <w:rPr>
          <w:rFonts w:hint="eastAsia" w:ascii="宋体" w:hAnsi="宋体" w:cs="宋体"/>
          <w:b/>
          <w:kern w:val="0"/>
          <w:szCs w:val="21"/>
        </w:rPr>
        <w:t>14.磋商小组组建</w:t>
      </w:r>
    </w:p>
    <w:p w14:paraId="18BEC5D0">
      <w:pPr>
        <w:spacing w:line="440" w:lineRule="exact"/>
        <w:ind w:firstLine="420" w:firstLineChars="200"/>
        <w:rPr>
          <w:rFonts w:ascii="宋体" w:hAnsi="宋体" w:cs="宋体"/>
          <w:kern w:val="0"/>
          <w:szCs w:val="21"/>
        </w:rPr>
      </w:pPr>
      <w:r>
        <w:rPr>
          <w:rFonts w:hint="eastAsia" w:ascii="宋体" w:hAnsi="宋体" w:cs="宋体"/>
          <w:kern w:val="0"/>
          <w:szCs w:val="21"/>
        </w:rPr>
        <w:t>14.1磋商小组由采购人代表和评审专家共</w:t>
      </w:r>
      <w:r>
        <w:rPr>
          <w:rFonts w:ascii="宋体" w:hAnsi="宋体" w:cs="宋体"/>
          <w:kern w:val="0"/>
          <w:szCs w:val="21"/>
        </w:rPr>
        <w:t>5</w:t>
      </w:r>
      <w:r>
        <w:rPr>
          <w:rFonts w:hint="eastAsia" w:ascii="宋体" w:hAnsi="宋体" w:cs="宋体"/>
          <w:kern w:val="0"/>
          <w:szCs w:val="21"/>
        </w:rPr>
        <w:t>人以上（含</w:t>
      </w:r>
      <w:r>
        <w:rPr>
          <w:rFonts w:ascii="宋体" w:hAnsi="宋体" w:cs="宋体"/>
          <w:kern w:val="0"/>
          <w:szCs w:val="21"/>
        </w:rPr>
        <w:t>5</w:t>
      </w:r>
      <w:r>
        <w:rPr>
          <w:rFonts w:hint="eastAsia" w:ascii="宋体" w:hAnsi="宋体" w:cs="宋体"/>
          <w:kern w:val="0"/>
          <w:szCs w:val="21"/>
        </w:rPr>
        <w:t>人）单数组成，其中评审专家人数不得少于磋商小组成员总数的2/3。</w:t>
      </w:r>
    </w:p>
    <w:p w14:paraId="1CF3F80B">
      <w:pPr>
        <w:spacing w:line="440" w:lineRule="exact"/>
        <w:ind w:firstLine="420" w:firstLineChars="200"/>
        <w:rPr>
          <w:rFonts w:ascii="宋体" w:hAnsi="宋体" w:cs="宋体"/>
          <w:kern w:val="0"/>
          <w:szCs w:val="21"/>
        </w:rPr>
      </w:pPr>
      <w:r>
        <w:rPr>
          <w:rFonts w:hint="eastAsia" w:ascii="宋体" w:hAnsi="宋体" w:cs="宋体"/>
          <w:kern w:val="0"/>
          <w:szCs w:val="21"/>
        </w:rPr>
        <w:t>14.2评审专家应当从评审专家库内相关专业的专家名单中随机抽取。属于市场竞争不充分的科研项目，或需要扶持的科技成果转化项目，或情况特殊、通过随机方式难以确定合适的评审专家的项目，经主管预算单位同意，可以自行选定评审专家。技术复杂、专业性强的采购项目，评审专家中应当包含1名法律专家。</w:t>
      </w:r>
    </w:p>
    <w:p w14:paraId="5D132696">
      <w:pPr>
        <w:spacing w:line="440" w:lineRule="exact"/>
        <w:ind w:firstLine="422" w:firstLineChars="200"/>
        <w:rPr>
          <w:rFonts w:ascii="宋体" w:hAnsi="宋体" w:cs="宋体"/>
          <w:b/>
          <w:kern w:val="0"/>
          <w:szCs w:val="21"/>
        </w:rPr>
      </w:pPr>
      <w:r>
        <w:rPr>
          <w:rFonts w:hint="eastAsia" w:ascii="宋体" w:hAnsi="宋体" w:cs="宋体"/>
          <w:b/>
          <w:kern w:val="0"/>
          <w:szCs w:val="21"/>
        </w:rPr>
        <w:t>15.评审程序</w:t>
      </w:r>
    </w:p>
    <w:p w14:paraId="472D3C64">
      <w:pPr>
        <w:spacing w:line="440" w:lineRule="exact"/>
        <w:ind w:firstLine="422" w:firstLineChars="200"/>
        <w:rPr>
          <w:rFonts w:ascii="宋体" w:hAnsi="宋体" w:cs="宋体"/>
          <w:b/>
          <w:kern w:val="0"/>
          <w:szCs w:val="21"/>
        </w:rPr>
      </w:pPr>
      <w:r>
        <w:rPr>
          <w:rFonts w:hint="eastAsia" w:ascii="宋体" w:hAnsi="宋体" w:cs="宋体"/>
          <w:b/>
          <w:kern w:val="0"/>
          <w:szCs w:val="21"/>
        </w:rPr>
        <w:t>15.1采购代理机构向磋商小组移交接收所有的响应文件。</w:t>
      </w:r>
    </w:p>
    <w:p w14:paraId="1E8765C7">
      <w:pPr>
        <w:spacing w:line="440" w:lineRule="exact"/>
        <w:ind w:firstLine="422" w:firstLineChars="200"/>
        <w:rPr>
          <w:rFonts w:ascii="宋体" w:hAnsi="宋体" w:cs="宋体"/>
          <w:b/>
          <w:kern w:val="0"/>
          <w:szCs w:val="21"/>
        </w:rPr>
      </w:pPr>
      <w:r>
        <w:rPr>
          <w:rFonts w:hint="eastAsia" w:ascii="宋体" w:hAnsi="宋体" w:cs="宋体"/>
          <w:b/>
          <w:kern w:val="0"/>
          <w:szCs w:val="21"/>
        </w:rPr>
        <w:t>15.2磋商小组评审响应文件</w:t>
      </w:r>
    </w:p>
    <w:p w14:paraId="68397176">
      <w:pPr>
        <w:spacing w:line="440" w:lineRule="exact"/>
        <w:ind w:firstLine="420" w:firstLineChars="200"/>
        <w:rPr>
          <w:rFonts w:ascii="宋体" w:hAnsi="宋体" w:cs="宋体"/>
          <w:kern w:val="0"/>
          <w:szCs w:val="21"/>
        </w:rPr>
      </w:pPr>
      <w:r>
        <w:rPr>
          <w:rFonts w:hint="eastAsia" w:ascii="宋体" w:hAnsi="宋体" w:cs="宋体"/>
          <w:kern w:val="0"/>
          <w:szCs w:val="21"/>
        </w:rPr>
        <w:t>磋商小组在对响应文件的有效性、完整性和响应程度进行审查。</w:t>
      </w:r>
    </w:p>
    <w:p w14:paraId="0F7D99AE">
      <w:pPr>
        <w:spacing w:line="440" w:lineRule="exact"/>
        <w:ind w:firstLine="422" w:firstLineChars="200"/>
        <w:rPr>
          <w:rFonts w:ascii="宋体" w:hAnsi="宋体" w:cs="宋体"/>
          <w:b/>
          <w:kern w:val="0"/>
          <w:szCs w:val="21"/>
        </w:rPr>
      </w:pPr>
      <w:r>
        <w:rPr>
          <w:rFonts w:hint="eastAsia" w:ascii="宋体" w:hAnsi="宋体" w:cs="宋体"/>
          <w:b/>
          <w:kern w:val="0"/>
          <w:szCs w:val="21"/>
        </w:rPr>
        <w:t>15.3澄清</w:t>
      </w:r>
    </w:p>
    <w:p w14:paraId="1EAFC277">
      <w:pPr>
        <w:spacing w:line="440" w:lineRule="exact"/>
        <w:ind w:firstLine="420" w:firstLineChars="200"/>
        <w:rPr>
          <w:rFonts w:ascii="宋体" w:hAnsi="宋体" w:cs="宋体"/>
          <w:kern w:val="0"/>
          <w:szCs w:val="21"/>
        </w:rPr>
      </w:pPr>
      <w:r>
        <w:rPr>
          <w:rFonts w:hint="eastAsia" w:ascii="宋体" w:hAnsi="宋体" w:cs="宋体"/>
          <w:kern w:val="0"/>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2EB463">
      <w:pPr>
        <w:spacing w:line="440" w:lineRule="exact"/>
        <w:ind w:firstLine="420" w:firstLineChars="200"/>
        <w:rPr>
          <w:rFonts w:ascii="宋体" w:hAnsi="宋体" w:cs="宋体"/>
          <w:kern w:val="0"/>
          <w:szCs w:val="21"/>
        </w:rPr>
      </w:pPr>
      <w:r>
        <w:rPr>
          <w:rFonts w:hint="eastAsia" w:ascii="宋体" w:hAnsi="宋体" w:cs="宋体"/>
          <w:kern w:val="0"/>
          <w:szCs w:val="21"/>
        </w:rPr>
        <w:t>磋商小组要求供应商澄清、说明或者更正响应文件应当以书面形式作出。供应商的澄清、说明或者更正应当由法定代表人或其授权代表签字或者加盖公章。由授权代表签字的，应当附法定代表人授权书。</w:t>
      </w:r>
    </w:p>
    <w:p w14:paraId="3E7E8D09">
      <w:pPr>
        <w:spacing w:line="440" w:lineRule="exact"/>
        <w:ind w:firstLine="422" w:firstLineChars="200"/>
        <w:rPr>
          <w:rFonts w:ascii="宋体" w:hAnsi="宋体" w:cs="宋体"/>
          <w:b/>
          <w:kern w:val="0"/>
          <w:szCs w:val="21"/>
        </w:rPr>
      </w:pPr>
      <w:r>
        <w:rPr>
          <w:rFonts w:hint="eastAsia" w:ascii="宋体" w:hAnsi="宋体" w:cs="宋体"/>
          <w:b/>
          <w:kern w:val="0"/>
          <w:szCs w:val="21"/>
        </w:rPr>
        <w:t>15.4磋商</w:t>
      </w:r>
    </w:p>
    <w:p w14:paraId="1D27D0A6">
      <w:pPr>
        <w:spacing w:line="440" w:lineRule="exact"/>
        <w:ind w:firstLine="420" w:firstLineChars="200"/>
        <w:rPr>
          <w:rFonts w:ascii="宋体" w:hAnsi="宋体" w:cs="宋体"/>
          <w:kern w:val="0"/>
          <w:szCs w:val="21"/>
        </w:rPr>
      </w:pPr>
      <w:r>
        <w:rPr>
          <w:rFonts w:hint="eastAsia" w:ascii="宋体" w:hAnsi="宋体" w:cs="宋体"/>
          <w:kern w:val="0"/>
          <w:szCs w:val="21"/>
        </w:rPr>
        <w:t>15.4.1磋商时间及地点：按须知前附表规定。</w:t>
      </w:r>
    </w:p>
    <w:p w14:paraId="13F14FB4">
      <w:pPr>
        <w:spacing w:line="440" w:lineRule="exact"/>
        <w:ind w:firstLine="420" w:firstLineChars="200"/>
        <w:rPr>
          <w:rFonts w:ascii="宋体" w:hAnsi="宋体" w:cs="宋体"/>
          <w:kern w:val="0"/>
          <w:szCs w:val="21"/>
        </w:rPr>
      </w:pPr>
      <w:r>
        <w:rPr>
          <w:rFonts w:hint="eastAsia" w:ascii="宋体" w:hAnsi="宋体" w:cs="宋体"/>
          <w:kern w:val="0"/>
          <w:szCs w:val="21"/>
        </w:rPr>
        <w:t>15.4.2供应商参加需要携带的材料：按须知前附表规定。</w:t>
      </w:r>
    </w:p>
    <w:p w14:paraId="3C101C9B">
      <w:pPr>
        <w:spacing w:line="440" w:lineRule="exact"/>
        <w:ind w:firstLine="420" w:firstLineChars="200"/>
        <w:rPr>
          <w:rFonts w:ascii="宋体" w:hAnsi="宋体" w:cs="宋体"/>
          <w:kern w:val="0"/>
          <w:szCs w:val="21"/>
        </w:rPr>
      </w:pPr>
      <w:r>
        <w:rPr>
          <w:rFonts w:hint="eastAsia" w:ascii="宋体" w:hAnsi="宋体" w:cs="宋体"/>
          <w:kern w:val="0"/>
          <w:szCs w:val="21"/>
        </w:rPr>
        <w:t>15.4.3磋商小组按须知前附表规定的磋商顺序，集中与单一供应商分别进行磋商，并给予所有参加磋商的供应商平等的磋商机会。</w:t>
      </w:r>
    </w:p>
    <w:p w14:paraId="585C4904">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对于资格条件、符合性评审不符合的供应商或未实质性响应磋商文件的响应文件按无效响应处理，磋商小组应当告知有关供应商。</w:t>
      </w:r>
    </w:p>
    <w:p w14:paraId="4DE73850">
      <w:pPr>
        <w:spacing w:line="440" w:lineRule="exact"/>
        <w:ind w:firstLine="420" w:firstLineChars="200"/>
        <w:rPr>
          <w:rFonts w:ascii="宋体" w:hAnsi="宋体" w:cs="宋体"/>
          <w:kern w:val="0"/>
          <w:szCs w:val="21"/>
        </w:rPr>
      </w:pPr>
      <w:r>
        <w:rPr>
          <w:rFonts w:hint="eastAsia" w:ascii="宋体" w:hAnsi="宋体" w:cs="宋体"/>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355BDAD9">
      <w:pPr>
        <w:spacing w:line="440" w:lineRule="exact"/>
        <w:ind w:firstLine="420" w:firstLineChars="200"/>
        <w:rPr>
          <w:rFonts w:ascii="宋体" w:hAnsi="宋体" w:cs="宋体"/>
          <w:kern w:val="0"/>
          <w:szCs w:val="21"/>
        </w:rPr>
      </w:pPr>
      <w:r>
        <w:rPr>
          <w:rFonts w:hint="eastAsia" w:ascii="宋体" w:hAnsi="宋体" w:cs="宋体"/>
          <w:kern w:val="0"/>
          <w:szCs w:val="21"/>
        </w:rPr>
        <w:t>对磋商文件作出的实质性变动是磋商文件的有效组成部分，磋商小组应当及时以书面形式同时通知所有参加磋商的供应商。</w:t>
      </w:r>
    </w:p>
    <w:p w14:paraId="132346D6">
      <w:pPr>
        <w:spacing w:line="440" w:lineRule="exact"/>
        <w:ind w:firstLine="420" w:firstLineChars="200"/>
        <w:rPr>
          <w:rFonts w:ascii="宋体" w:hAnsi="宋体" w:cs="宋体"/>
          <w:kern w:val="0"/>
          <w:szCs w:val="21"/>
        </w:rPr>
      </w:pPr>
      <w:r>
        <w:rPr>
          <w:rFonts w:hint="eastAsia" w:ascii="宋体" w:hAnsi="宋体" w:cs="宋体"/>
          <w:kern w:val="0"/>
          <w:szCs w:val="21"/>
        </w:rPr>
        <w:t>供应商应当按照磋商文件的变动情况和磋商小组的要求重新提交响应文件，并由其法定代表人或授权代表签字或者加盖公章。由授权代表签字的，应当附法定代表人签署并加盖公章的授权委托书。</w:t>
      </w:r>
    </w:p>
    <w:p w14:paraId="0D2D2DB6">
      <w:pPr>
        <w:spacing w:line="440" w:lineRule="exact"/>
        <w:ind w:firstLine="420" w:firstLineChars="200"/>
        <w:rPr>
          <w:rFonts w:ascii="宋体" w:hAnsi="宋体" w:cs="宋体"/>
          <w:kern w:val="0"/>
          <w:szCs w:val="21"/>
        </w:rPr>
      </w:pPr>
      <w:r>
        <w:rPr>
          <w:rFonts w:hint="eastAsia" w:ascii="宋体" w:hAnsi="宋体" w:cs="宋体"/>
          <w:kern w:val="0"/>
          <w:szCs w:val="21"/>
        </w:rPr>
        <w:t>磋商中，磋商的任何一方不得透露与磋商有关的其他供应商的技术资料、价格和其他信息。</w:t>
      </w:r>
    </w:p>
    <w:p w14:paraId="0E5F6EB8">
      <w:pPr>
        <w:spacing w:line="440" w:lineRule="exact"/>
        <w:ind w:firstLine="420" w:firstLineChars="200"/>
        <w:rPr>
          <w:rFonts w:ascii="宋体" w:hAnsi="宋体" w:cs="宋体"/>
          <w:kern w:val="0"/>
          <w:szCs w:val="21"/>
        </w:rPr>
      </w:pPr>
      <w:r>
        <w:rPr>
          <w:rFonts w:hint="eastAsia" w:ascii="宋体" w:hAnsi="宋体" w:cs="宋体"/>
          <w:kern w:val="0"/>
          <w:szCs w:val="21"/>
        </w:rPr>
        <w:t>采购代理机构对磋商过程和重要磋商内容进行记录，磋商双方在记录上签字确认。</w:t>
      </w:r>
    </w:p>
    <w:p w14:paraId="185195F9">
      <w:pPr>
        <w:spacing w:line="440" w:lineRule="exact"/>
        <w:ind w:firstLine="420" w:firstLineChars="200"/>
        <w:rPr>
          <w:rFonts w:ascii="宋体" w:hAnsi="宋体" w:cs="宋体"/>
          <w:kern w:val="0"/>
          <w:szCs w:val="21"/>
        </w:rPr>
      </w:pPr>
      <w:r>
        <w:rPr>
          <w:rFonts w:hint="eastAsia" w:ascii="宋体" w:hAnsi="宋体" w:cs="宋体"/>
          <w:kern w:val="0"/>
          <w:szCs w:val="21"/>
        </w:rPr>
        <w:t>15.5最后报价</w:t>
      </w:r>
    </w:p>
    <w:p w14:paraId="591B7914">
      <w:pPr>
        <w:spacing w:line="440" w:lineRule="exact"/>
        <w:ind w:firstLine="420" w:firstLineChars="200"/>
        <w:rPr>
          <w:rFonts w:ascii="宋体" w:hAnsi="宋体" w:cs="宋体"/>
          <w:kern w:val="0"/>
          <w:szCs w:val="21"/>
        </w:rPr>
      </w:pPr>
      <w:r>
        <w:rPr>
          <w:rFonts w:hint="eastAsia" w:ascii="宋体" w:hAnsi="宋体" w:cs="宋体"/>
          <w:kern w:val="0"/>
          <w:szCs w:val="21"/>
        </w:rPr>
        <w:t>15.5.1磋商文件能够详细列明采购标的的技术、服务要求的，磋商结束后，磋商小组应当要求所有继续参加磋商的供应商在规定时间内密封提交最后报价。</w:t>
      </w:r>
    </w:p>
    <w:p w14:paraId="227BEFF6">
      <w:pPr>
        <w:spacing w:line="440" w:lineRule="exact"/>
        <w:ind w:firstLine="435"/>
        <w:rPr>
          <w:rFonts w:ascii="宋体" w:hAnsi="宋体" w:cs="宋体"/>
          <w:kern w:val="0"/>
          <w:szCs w:val="21"/>
        </w:rPr>
      </w:pPr>
      <w:r>
        <w:rPr>
          <w:kern w:val="0"/>
          <w:szCs w:val="21"/>
        </w:rPr>
        <w:t>供应商可按以下格式作最后报价</w:t>
      </w:r>
      <w:r>
        <w:rPr>
          <w:rFonts w:hint="eastAsia" w:ascii="宋体" w:hAnsi="宋体" w:cs="宋体"/>
          <w:kern w:val="0"/>
          <w:szCs w:val="21"/>
        </w:rPr>
        <w:t>，密封递交磋商小组。磋商小组按竞争性磋商文件设定的方法和标准推荐成交候选人顺序，形成磋商报告。由于最后报价需报出各类型的单价内容，各供应商可在最后报价表中填写好最后报价不会改变的内容打印出来备用。</w:t>
      </w:r>
    </w:p>
    <w:p w14:paraId="2E5CA45C">
      <w:pPr>
        <w:spacing w:line="440" w:lineRule="exact"/>
        <w:ind w:firstLine="420" w:firstLineChars="200"/>
        <w:rPr>
          <w:rFonts w:ascii="宋体" w:hAnsi="宋体" w:cs="宋体"/>
          <w:kern w:val="0"/>
          <w:szCs w:val="21"/>
        </w:rPr>
      </w:pPr>
      <w:r>
        <w:rPr>
          <w:rFonts w:hint="eastAsia" w:ascii="宋体" w:hAnsi="宋体" w:cs="宋体"/>
          <w:kern w:val="0"/>
          <w:szCs w:val="21"/>
        </w:rPr>
        <w:t>15.5.2磋商文件不能详细列明采购标的的技术、服务要求，需经磋商由供应商提供最终设计方案或解决方案的，磋商结束后，磋商小组应当要求供应商在规定时间内密封提交最后报价。</w:t>
      </w:r>
    </w:p>
    <w:p w14:paraId="2AB2E96C">
      <w:pPr>
        <w:spacing w:line="440" w:lineRule="exact"/>
        <w:ind w:firstLine="420" w:firstLineChars="200"/>
        <w:rPr>
          <w:rFonts w:ascii="宋体" w:hAnsi="宋体" w:cs="宋体"/>
          <w:kern w:val="0"/>
          <w:szCs w:val="21"/>
        </w:rPr>
      </w:pPr>
      <w:r>
        <w:rPr>
          <w:rFonts w:hint="eastAsia" w:ascii="宋体" w:hAnsi="宋体" w:cs="宋体"/>
          <w:kern w:val="0"/>
          <w:szCs w:val="21"/>
        </w:rPr>
        <w:t>15.5.3属于市场竞争不充分的科研项目，以及需要扶持的科技成果转化项目</w:t>
      </w:r>
      <w:r>
        <w:rPr>
          <w:rFonts w:hint="eastAsia"/>
        </w:rPr>
        <w:t>和本章第15.5.4条情形的</w:t>
      </w:r>
      <w:r>
        <w:rPr>
          <w:rFonts w:hint="eastAsia" w:ascii="宋体" w:hAnsi="宋体" w:cs="宋体"/>
          <w:kern w:val="0"/>
          <w:szCs w:val="21"/>
        </w:rPr>
        <w:t>，提交最后报价的供应商可以为2家。</w:t>
      </w:r>
    </w:p>
    <w:p w14:paraId="5CFEC09E">
      <w:pPr>
        <w:widowControl/>
        <w:tabs>
          <w:tab w:val="left" w:pos="540"/>
        </w:tabs>
        <w:spacing w:line="440" w:lineRule="exact"/>
        <w:ind w:firstLine="420" w:firstLineChars="200"/>
        <w:jc w:val="left"/>
        <w:rPr>
          <w:rFonts w:ascii="宋体" w:hAnsi="宋体" w:cs="宋体"/>
          <w:szCs w:val="21"/>
        </w:rPr>
      </w:pPr>
      <w:r>
        <w:rPr>
          <w:rFonts w:hint="eastAsia" w:ascii="宋体" w:hAnsi="宋体" w:cs="宋体"/>
          <w:kern w:val="0"/>
          <w:szCs w:val="21"/>
        </w:rPr>
        <w:t>15.5.4</w:t>
      </w:r>
      <w:r>
        <w:rPr>
          <w:rFonts w:hint="eastAsia" w:ascii="宋体" w:hAnsi="宋体" w:cs="宋体"/>
          <w:szCs w:val="21"/>
        </w:rPr>
        <w:t>参照财政部文件财库【2015】124号《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110788D">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15.5.5最后报价是供应商响应文件的有效组成部分。</w:t>
      </w:r>
    </w:p>
    <w:p w14:paraId="03E622B4">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15.5.6 已经提交响应文件的供应商，在提交最后报价之前，可以根据磋商情况书面申请退出磋商。采购人、采购代理机构在结束最终磋商程序后将退还退出磋商的供应商的保证金。</w:t>
      </w:r>
    </w:p>
    <w:p w14:paraId="680F321D">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15.5.7 如响应供应商的报价均超过了采购预算，采购人不能支付的，磋商活动终止。</w:t>
      </w:r>
    </w:p>
    <w:p w14:paraId="16C65184">
      <w:pPr>
        <w:widowControl/>
        <w:tabs>
          <w:tab w:val="left" w:pos="540"/>
        </w:tabs>
        <w:spacing w:line="440" w:lineRule="exact"/>
        <w:ind w:firstLine="422" w:firstLineChars="200"/>
        <w:jc w:val="left"/>
        <w:rPr>
          <w:rFonts w:ascii="宋体" w:hAnsi="宋体" w:cs="宋体"/>
          <w:b/>
          <w:szCs w:val="21"/>
        </w:rPr>
      </w:pPr>
      <w:r>
        <w:rPr>
          <w:rFonts w:hint="eastAsia" w:ascii="宋体" w:hAnsi="宋体" w:cs="宋体"/>
          <w:b/>
          <w:szCs w:val="21"/>
        </w:rPr>
        <w:t>16.最终磋商结束后，磋商小组不得再与供应商进行任何形式的商谈。</w:t>
      </w:r>
    </w:p>
    <w:p w14:paraId="4483F09A">
      <w:pPr>
        <w:widowControl/>
        <w:tabs>
          <w:tab w:val="left" w:pos="540"/>
        </w:tabs>
        <w:spacing w:line="440" w:lineRule="exact"/>
        <w:ind w:firstLine="422" w:firstLineChars="200"/>
        <w:jc w:val="left"/>
        <w:rPr>
          <w:rFonts w:ascii="宋体" w:hAnsi="宋体" w:cs="宋体"/>
          <w:b/>
          <w:szCs w:val="21"/>
        </w:rPr>
      </w:pPr>
      <w:r>
        <w:rPr>
          <w:rFonts w:hint="eastAsia" w:ascii="宋体" w:hAnsi="宋体" w:cs="宋体"/>
          <w:b/>
          <w:szCs w:val="21"/>
        </w:rPr>
        <w:t>17.评审与比较</w:t>
      </w:r>
    </w:p>
    <w:p w14:paraId="29FC0C17">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17.1经磋商确定最终采购需求和提交最后报价的供应商后，由磋商小组采用综合评分法对提交最后报价的供应商的响应文件和最后报价进行综合评分。</w:t>
      </w:r>
    </w:p>
    <w:p w14:paraId="38344BDA">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17.2评审原则。磋商小组必须公平、公正、客观，不带任何倾向性和启发性；不得向外界透露任何与评审有关的内容；任何单位和个人不得干扰、影响评审的正常进行。</w:t>
      </w:r>
    </w:p>
    <w:p w14:paraId="23E3686B">
      <w:pPr>
        <w:widowControl/>
        <w:tabs>
          <w:tab w:val="left" w:pos="540"/>
        </w:tabs>
        <w:spacing w:line="440" w:lineRule="exact"/>
        <w:ind w:firstLine="420" w:firstLineChars="200"/>
        <w:jc w:val="left"/>
        <w:rPr>
          <w:rFonts w:ascii="宋体" w:hAnsi="宋体" w:cs="宋体"/>
          <w:szCs w:val="21"/>
        </w:rPr>
      </w:pPr>
      <w:r>
        <w:rPr>
          <w:rFonts w:hint="eastAsia" w:ascii="宋体" w:hAnsi="宋体" w:cs="宋体"/>
          <w:szCs w:val="21"/>
        </w:rPr>
        <w:t>17.3评标办法及标准详见第四章。</w:t>
      </w:r>
    </w:p>
    <w:p w14:paraId="38C8574B">
      <w:pPr>
        <w:widowControl/>
        <w:tabs>
          <w:tab w:val="left" w:pos="540"/>
        </w:tabs>
        <w:spacing w:line="440" w:lineRule="exact"/>
        <w:ind w:firstLine="422" w:firstLineChars="200"/>
        <w:jc w:val="left"/>
        <w:rPr>
          <w:rFonts w:ascii="宋体" w:hAnsi="宋体" w:cs="宋体"/>
          <w:b/>
          <w:bCs/>
          <w:szCs w:val="21"/>
        </w:rPr>
      </w:pPr>
      <w:r>
        <w:rPr>
          <w:rFonts w:hint="eastAsia" w:ascii="宋体" w:hAnsi="宋体" w:cs="宋体"/>
          <w:b/>
          <w:szCs w:val="21"/>
        </w:rPr>
        <w:t>18.</w:t>
      </w:r>
      <w:r>
        <w:rPr>
          <w:rFonts w:hint="eastAsia" w:ascii="宋体" w:hAnsi="宋体" w:cs="宋体"/>
          <w:b/>
          <w:bCs/>
          <w:szCs w:val="21"/>
        </w:rPr>
        <w:t>在评标过程中出现法律法规和磋商文件均没有明确规定的情形时，由磋商小组现场协商解决，协商不一致的，由全体磋商小组投票表决，以过半数以上专家的意见为准。</w:t>
      </w:r>
    </w:p>
    <w:p w14:paraId="429F3EF3">
      <w:pPr>
        <w:widowControl/>
        <w:tabs>
          <w:tab w:val="left" w:pos="540"/>
        </w:tabs>
        <w:spacing w:line="440" w:lineRule="exact"/>
        <w:ind w:firstLine="422" w:firstLineChars="200"/>
        <w:jc w:val="left"/>
        <w:rPr>
          <w:rFonts w:ascii="宋体" w:hAnsi="宋体" w:cs="宋体"/>
        </w:rPr>
      </w:pPr>
      <w:r>
        <w:rPr>
          <w:rFonts w:hint="eastAsia" w:ascii="宋体" w:hAnsi="宋体" w:cs="宋体"/>
          <w:b/>
          <w:szCs w:val="21"/>
        </w:rPr>
        <w:t>19.特别说明：</w:t>
      </w:r>
    </w:p>
    <w:p w14:paraId="3B3CEB79">
      <w:pPr>
        <w:widowControl/>
        <w:spacing w:line="440" w:lineRule="exact"/>
        <w:ind w:firstLine="420" w:firstLineChars="200"/>
        <w:jc w:val="left"/>
        <w:rPr>
          <w:rFonts w:ascii="宋体" w:hAnsi="宋体" w:cs="宋体"/>
          <w:szCs w:val="21"/>
        </w:rPr>
      </w:pPr>
      <w:r>
        <w:rPr>
          <w:rFonts w:hint="eastAsia" w:ascii="宋体" w:hAnsi="宋体" w:cs="宋体"/>
          <w:szCs w:val="21"/>
        </w:rPr>
        <w:t>19.1 供应商竞标所使用的资格、信誉、荣誉、业绩与企业认证必须为其组织所拥有。</w:t>
      </w:r>
    </w:p>
    <w:p w14:paraId="78A60BDE">
      <w:pPr>
        <w:widowControl/>
        <w:spacing w:line="440" w:lineRule="exact"/>
        <w:ind w:firstLine="420" w:firstLineChars="200"/>
        <w:jc w:val="left"/>
        <w:rPr>
          <w:rFonts w:ascii="宋体" w:hAnsi="宋体" w:cs="宋体"/>
          <w:szCs w:val="21"/>
        </w:rPr>
      </w:pPr>
      <w:r>
        <w:rPr>
          <w:rFonts w:hint="eastAsia" w:ascii="宋体" w:hAnsi="宋体" w:cs="宋体"/>
          <w:szCs w:val="21"/>
        </w:rPr>
        <w:t>19.2 供应商应仔细阅读竞争性磋商文件的所有内容，按照竞争性磋商文件的要求提交响应文件，并对所提供的全部资料的真实性合法性承担法律责任。</w:t>
      </w:r>
    </w:p>
    <w:p w14:paraId="7D17398B">
      <w:pPr>
        <w:pStyle w:val="28"/>
        <w:spacing w:line="440" w:lineRule="exact"/>
        <w:ind w:left="2" w:leftChars="1" w:firstLine="420" w:firstLineChars="200"/>
        <w:rPr>
          <w:rFonts w:hAnsi="宋体" w:cs="宋体"/>
          <w:kern w:val="2"/>
          <w:sz w:val="21"/>
        </w:rPr>
      </w:pPr>
      <w:r>
        <w:rPr>
          <w:rFonts w:hint="eastAsia" w:hAnsi="宋体" w:cs="宋体"/>
          <w:sz w:val="21"/>
        </w:rPr>
        <w:t>19.</w:t>
      </w:r>
      <w:r>
        <w:rPr>
          <w:rFonts w:hint="eastAsia" w:hAnsi="宋体" w:cs="宋体"/>
          <w:kern w:val="2"/>
          <w:sz w:val="21"/>
        </w:rPr>
        <w:t>3 供应商在竞标活动中提供任何虚假材料,其竞标无效，并报监管部门查处；成交后发现的,采购人有权解除合同。</w:t>
      </w:r>
    </w:p>
    <w:p w14:paraId="77AC0596">
      <w:pPr>
        <w:pStyle w:val="28"/>
        <w:spacing w:line="440" w:lineRule="exact"/>
        <w:ind w:left="2" w:leftChars="1" w:firstLine="420" w:firstLineChars="200"/>
        <w:rPr>
          <w:rFonts w:hAnsi="宋体" w:cs="宋体"/>
          <w:kern w:val="2"/>
          <w:sz w:val="21"/>
        </w:rPr>
      </w:pPr>
      <w:r>
        <w:rPr>
          <w:rFonts w:hint="eastAsia" w:hAnsi="宋体" w:cs="宋体"/>
          <w:sz w:val="21"/>
        </w:rPr>
        <w:t>19</w:t>
      </w:r>
      <w:r>
        <w:rPr>
          <w:rFonts w:hint="eastAsia" w:hAnsi="宋体" w:cs="宋体"/>
        </w:rPr>
        <w:t>.</w:t>
      </w:r>
      <w:r>
        <w:rPr>
          <w:rFonts w:hint="eastAsia" w:hAnsi="宋体" w:cs="宋体"/>
          <w:kern w:val="2"/>
          <w:sz w:val="21"/>
        </w:rPr>
        <w:t>4 有下列情形之一的视为供应商相互串通磋商，响应文件将被视为无效：</w:t>
      </w:r>
    </w:p>
    <w:p w14:paraId="3D12052C">
      <w:pPr>
        <w:pStyle w:val="28"/>
        <w:spacing w:line="440" w:lineRule="exact"/>
        <w:ind w:left="2" w:leftChars="1" w:firstLine="420" w:firstLineChars="200"/>
        <w:rPr>
          <w:rFonts w:hAnsi="宋体" w:cs="宋体"/>
          <w:kern w:val="2"/>
          <w:sz w:val="21"/>
        </w:rPr>
      </w:pPr>
      <w:r>
        <w:rPr>
          <w:rFonts w:hint="eastAsia" w:hAnsi="宋体" w:cs="宋体"/>
          <w:kern w:val="2"/>
          <w:sz w:val="21"/>
        </w:rPr>
        <w:t>（1）不同供应商的响应文件由同一单位或者个人编制；或不同供应商报名的IP地址一致的；</w:t>
      </w:r>
    </w:p>
    <w:p w14:paraId="35B32C64">
      <w:pPr>
        <w:pStyle w:val="28"/>
        <w:spacing w:line="440" w:lineRule="exact"/>
        <w:ind w:left="2" w:leftChars="1" w:firstLine="420" w:firstLineChars="200"/>
        <w:rPr>
          <w:rFonts w:hAnsi="宋体" w:cs="宋体"/>
          <w:kern w:val="2"/>
          <w:sz w:val="21"/>
        </w:rPr>
      </w:pPr>
      <w:r>
        <w:rPr>
          <w:rFonts w:hint="eastAsia" w:hAnsi="宋体" w:cs="宋体"/>
          <w:kern w:val="2"/>
          <w:sz w:val="21"/>
        </w:rPr>
        <w:t>（2）不同供应商委托同一单位或者个人办理竞标事宜；</w:t>
      </w:r>
    </w:p>
    <w:p w14:paraId="65E22868">
      <w:pPr>
        <w:pStyle w:val="28"/>
        <w:spacing w:line="440" w:lineRule="exact"/>
        <w:ind w:left="2" w:leftChars="1" w:firstLine="420" w:firstLineChars="200"/>
        <w:rPr>
          <w:rFonts w:hAnsi="宋体" w:cs="宋体"/>
          <w:kern w:val="2"/>
          <w:sz w:val="21"/>
        </w:rPr>
      </w:pPr>
      <w:r>
        <w:rPr>
          <w:rFonts w:hint="eastAsia" w:hAnsi="宋体" w:cs="宋体"/>
          <w:kern w:val="2"/>
          <w:sz w:val="21"/>
        </w:rPr>
        <w:t>（3）不同的供应商的响应文件载明的项目管理员为同一个人；</w:t>
      </w:r>
    </w:p>
    <w:p w14:paraId="4CFD9F6D">
      <w:pPr>
        <w:pStyle w:val="28"/>
        <w:spacing w:line="440" w:lineRule="exact"/>
        <w:ind w:left="2" w:leftChars="1" w:firstLine="420" w:firstLineChars="200"/>
        <w:rPr>
          <w:rFonts w:hAnsi="宋体" w:cs="宋体"/>
          <w:kern w:val="2"/>
          <w:sz w:val="21"/>
        </w:rPr>
      </w:pPr>
      <w:r>
        <w:rPr>
          <w:rFonts w:hint="eastAsia" w:hAnsi="宋体" w:cs="宋体"/>
          <w:kern w:val="2"/>
          <w:sz w:val="21"/>
        </w:rPr>
        <w:t>（4）不同供应商的响应文件异常一致或报价呈规律性差异；</w:t>
      </w:r>
    </w:p>
    <w:p w14:paraId="1A7D7EE4">
      <w:pPr>
        <w:pStyle w:val="28"/>
        <w:spacing w:line="440" w:lineRule="exact"/>
        <w:ind w:left="2" w:leftChars="1" w:firstLine="420" w:firstLineChars="200"/>
        <w:rPr>
          <w:rFonts w:hAnsi="宋体" w:cs="宋体"/>
          <w:kern w:val="2"/>
          <w:sz w:val="21"/>
        </w:rPr>
      </w:pPr>
      <w:r>
        <w:rPr>
          <w:rFonts w:hint="eastAsia" w:hAnsi="宋体" w:cs="宋体"/>
          <w:kern w:val="2"/>
          <w:sz w:val="21"/>
        </w:rPr>
        <w:t>（5）不同供应商的响应文件相互混装；</w:t>
      </w:r>
    </w:p>
    <w:p w14:paraId="7C08623E">
      <w:pPr>
        <w:pStyle w:val="28"/>
        <w:spacing w:line="440" w:lineRule="exact"/>
        <w:ind w:left="2" w:leftChars="1" w:firstLine="420" w:firstLineChars="200"/>
        <w:rPr>
          <w:rFonts w:hAnsi="宋体" w:cs="宋体"/>
          <w:kern w:val="2"/>
          <w:sz w:val="21"/>
        </w:rPr>
      </w:pPr>
      <w:r>
        <w:rPr>
          <w:rFonts w:hint="eastAsia" w:hAnsi="宋体" w:cs="宋体"/>
          <w:kern w:val="2"/>
          <w:sz w:val="21"/>
        </w:rPr>
        <w:t>（6）不同供应商的保证金从同一单位或者个人账户转出。</w:t>
      </w:r>
    </w:p>
    <w:p w14:paraId="4CBC7D96">
      <w:pPr>
        <w:pStyle w:val="28"/>
        <w:spacing w:line="440" w:lineRule="exact"/>
        <w:ind w:left="2" w:leftChars="1" w:firstLine="420" w:firstLineChars="200"/>
        <w:rPr>
          <w:rFonts w:hAnsi="宋体" w:cs="宋体"/>
          <w:kern w:val="2"/>
          <w:sz w:val="21"/>
        </w:rPr>
      </w:pPr>
      <w:r>
        <w:rPr>
          <w:rFonts w:hint="eastAsia" w:hAnsi="宋体" w:cs="宋体"/>
          <w:sz w:val="21"/>
        </w:rPr>
        <w:t>19</w:t>
      </w:r>
      <w:r>
        <w:rPr>
          <w:rFonts w:hint="eastAsia" w:hAnsi="宋体" w:cs="宋体"/>
        </w:rPr>
        <w:t>.</w:t>
      </w:r>
      <w:r>
        <w:rPr>
          <w:rFonts w:hint="eastAsia" w:hAnsi="宋体" w:cs="宋体"/>
          <w:kern w:val="2"/>
          <w:sz w:val="21"/>
        </w:rPr>
        <w:t>5 供应商有下列情形之一的，属于恶意串通行为：</w:t>
      </w:r>
    </w:p>
    <w:p w14:paraId="672FFBB1">
      <w:pPr>
        <w:pStyle w:val="28"/>
        <w:spacing w:line="440" w:lineRule="exact"/>
        <w:ind w:left="2" w:leftChars="1" w:firstLine="420" w:firstLineChars="200"/>
        <w:rPr>
          <w:rFonts w:hAnsi="宋体" w:cs="宋体"/>
          <w:kern w:val="2"/>
          <w:sz w:val="21"/>
        </w:rPr>
      </w:pPr>
      <w:r>
        <w:rPr>
          <w:rFonts w:hint="eastAsia" w:hAnsi="宋体" w:cs="宋体"/>
          <w:kern w:val="2"/>
          <w:sz w:val="21"/>
        </w:rPr>
        <w:t>（1）供应商直接或者间接从采购人或者采购代理机构处获得其他供应商的相关信息并修改其响应文件；</w:t>
      </w:r>
    </w:p>
    <w:p w14:paraId="561ABD42">
      <w:pPr>
        <w:pStyle w:val="28"/>
        <w:spacing w:line="440" w:lineRule="exact"/>
        <w:ind w:left="2" w:leftChars="1" w:firstLine="420" w:firstLineChars="200"/>
        <w:rPr>
          <w:rFonts w:hAnsi="宋体" w:cs="宋体"/>
          <w:kern w:val="2"/>
          <w:sz w:val="21"/>
        </w:rPr>
      </w:pPr>
      <w:r>
        <w:rPr>
          <w:rFonts w:hint="eastAsia" w:hAnsi="宋体" w:cs="宋体"/>
          <w:kern w:val="2"/>
          <w:sz w:val="21"/>
        </w:rPr>
        <w:t>（2）供应商按照采购人或者采购代理机构的授意撤换、修改响应文件；</w:t>
      </w:r>
    </w:p>
    <w:p w14:paraId="6BC9F02D">
      <w:pPr>
        <w:pStyle w:val="28"/>
        <w:spacing w:line="440" w:lineRule="exact"/>
        <w:ind w:left="2" w:leftChars="1" w:firstLine="420" w:firstLineChars="200"/>
        <w:rPr>
          <w:rFonts w:hAnsi="宋体" w:cs="宋体"/>
          <w:kern w:val="2"/>
          <w:sz w:val="21"/>
        </w:rPr>
      </w:pPr>
      <w:r>
        <w:rPr>
          <w:rFonts w:hint="eastAsia" w:hAnsi="宋体" w:cs="宋体"/>
          <w:kern w:val="2"/>
          <w:sz w:val="21"/>
        </w:rPr>
        <w:t>（3）供应商之间协商报价、技术方案等响应文件的实质性内容；</w:t>
      </w:r>
    </w:p>
    <w:p w14:paraId="402955E7">
      <w:pPr>
        <w:pStyle w:val="28"/>
        <w:spacing w:line="440" w:lineRule="exact"/>
        <w:ind w:left="2" w:leftChars="1" w:firstLine="420" w:firstLineChars="200"/>
        <w:rPr>
          <w:rFonts w:hAnsi="宋体" w:cs="宋体"/>
          <w:kern w:val="2"/>
          <w:sz w:val="21"/>
        </w:rPr>
      </w:pPr>
      <w:r>
        <w:rPr>
          <w:rFonts w:hint="eastAsia" w:hAnsi="宋体" w:cs="宋体"/>
          <w:kern w:val="2"/>
          <w:sz w:val="21"/>
        </w:rPr>
        <w:t>（4）属于同一集团、协会、商会等组织成员的供应商按照该组织要求协同参加采购活动；</w:t>
      </w:r>
    </w:p>
    <w:p w14:paraId="187CF0A5">
      <w:pPr>
        <w:pStyle w:val="28"/>
        <w:spacing w:line="440" w:lineRule="exact"/>
        <w:ind w:left="2" w:leftChars="1" w:firstLine="420" w:firstLineChars="200"/>
        <w:rPr>
          <w:rFonts w:hAnsi="宋体" w:cs="宋体"/>
          <w:kern w:val="2"/>
          <w:sz w:val="21"/>
        </w:rPr>
      </w:pPr>
      <w:r>
        <w:rPr>
          <w:rFonts w:hint="eastAsia" w:hAnsi="宋体" w:cs="宋体"/>
          <w:kern w:val="2"/>
          <w:sz w:val="21"/>
        </w:rPr>
        <w:t>（5）供应商之间事先约定一致抬高或者压低报价,或者在采购项目中事先约定轮流以高价位或者低价位成交,或者事先约定由某一特定供应商成交,然后再参加竞标；</w:t>
      </w:r>
    </w:p>
    <w:p w14:paraId="1A8BBCCE">
      <w:pPr>
        <w:pStyle w:val="28"/>
        <w:spacing w:line="440" w:lineRule="exact"/>
        <w:ind w:left="2" w:leftChars="1" w:firstLine="420" w:firstLineChars="200"/>
        <w:rPr>
          <w:rFonts w:hAnsi="宋体" w:cs="宋体"/>
          <w:kern w:val="2"/>
          <w:sz w:val="21"/>
        </w:rPr>
      </w:pPr>
      <w:r>
        <w:rPr>
          <w:rFonts w:hint="eastAsia" w:hAnsi="宋体" w:cs="宋体"/>
          <w:kern w:val="2"/>
          <w:sz w:val="21"/>
        </w:rPr>
        <w:t>（6）供应商之间商定部分供应商放弃参加采购活动或者放弃成交；</w:t>
      </w:r>
    </w:p>
    <w:p w14:paraId="2C9D3322">
      <w:pPr>
        <w:pStyle w:val="28"/>
        <w:spacing w:line="440" w:lineRule="exact"/>
        <w:ind w:left="2" w:leftChars="1" w:firstLine="420" w:firstLineChars="200"/>
        <w:rPr>
          <w:rFonts w:hAnsi="宋体" w:cs="宋体"/>
          <w:kern w:val="2"/>
          <w:sz w:val="21"/>
        </w:rPr>
      </w:pPr>
      <w:r>
        <w:rPr>
          <w:rFonts w:hint="eastAsia" w:hAnsi="宋体" w:cs="宋体"/>
          <w:kern w:val="2"/>
          <w:sz w:val="21"/>
        </w:rPr>
        <w:t>（7）供应商与采购人或者采购代理机构之间、供应商相互之间，为谋求特定供应商成交或者排斥其他供应商的其他串通行为。</w:t>
      </w:r>
    </w:p>
    <w:p w14:paraId="6FDED53F">
      <w:pPr>
        <w:pStyle w:val="28"/>
        <w:spacing w:line="440" w:lineRule="exact"/>
        <w:ind w:left="2" w:leftChars="1" w:firstLine="420" w:firstLineChars="200"/>
        <w:rPr>
          <w:rFonts w:hAnsi="宋体" w:cs="宋体"/>
          <w:kern w:val="2"/>
          <w:sz w:val="21"/>
        </w:rPr>
      </w:pPr>
      <w:r>
        <w:rPr>
          <w:rFonts w:hint="eastAsia" w:hAnsi="宋体" w:cs="宋体"/>
          <w:sz w:val="21"/>
        </w:rPr>
        <w:t>19</w:t>
      </w:r>
      <w:r>
        <w:rPr>
          <w:rFonts w:hint="eastAsia" w:hAnsi="宋体" w:cs="宋体"/>
        </w:rPr>
        <w:t>.</w:t>
      </w:r>
      <w:r>
        <w:rPr>
          <w:rFonts w:hint="eastAsia" w:hAnsi="宋体" w:cs="宋体"/>
          <w:kern w:val="2"/>
          <w:sz w:val="21"/>
        </w:rPr>
        <w:t>6 关联供应商不得参加同一合同项下采购活动，否则响应文件将被视为无效：</w:t>
      </w:r>
    </w:p>
    <w:p w14:paraId="4FAE3045">
      <w:pPr>
        <w:pStyle w:val="28"/>
        <w:spacing w:line="440" w:lineRule="exact"/>
        <w:ind w:left="2" w:leftChars="1" w:firstLine="420" w:firstLineChars="200"/>
        <w:rPr>
          <w:rFonts w:hAnsi="宋体" w:cs="宋体"/>
          <w:kern w:val="2"/>
          <w:sz w:val="21"/>
        </w:rPr>
      </w:pPr>
      <w:r>
        <w:rPr>
          <w:rFonts w:hint="eastAsia" w:hAnsi="宋体" w:cs="宋体"/>
          <w:kern w:val="2"/>
          <w:sz w:val="21"/>
        </w:rPr>
        <w:t>（1）单位负责人为同一人或者存在直接控股、管理关系的不同的供应商，不得参加同一合同项下的采购活动；</w:t>
      </w:r>
    </w:p>
    <w:p w14:paraId="32022641">
      <w:pPr>
        <w:pStyle w:val="28"/>
        <w:spacing w:line="440" w:lineRule="exact"/>
        <w:ind w:left="2" w:leftChars="1" w:firstLine="420" w:firstLineChars="200"/>
        <w:rPr>
          <w:rFonts w:hAnsi="宋体" w:cs="宋体"/>
          <w:kern w:val="2"/>
          <w:sz w:val="21"/>
        </w:rPr>
      </w:pPr>
      <w:r>
        <w:rPr>
          <w:rFonts w:hint="eastAsia" w:hAnsi="宋体" w:cs="宋体"/>
          <w:kern w:val="2"/>
          <w:sz w:val="21"/>
        </w:rPr>
        <w:t>（2）生产厂商授权给供应商后自己不得参加同一合同项下的采购活动；生产厂商对同一品牌同一型号的货物，仅能授权一个代理商参加竞标。</w:t>
      </w:r>
    </w:p>
    <w:p w14:paraId="1A5DEA92">
      <w:pPr>
        <w:pStyle w:val="28"/>
        <w:spacing w:line="440" w:lineRule="exact"/>
        <w:ind w:left="2" w:leftChars="1" w:firstLine="420" w:firstLineChars="200"/>
        <w:rPr>
          <w:rFonts w:hAnsi="宋体" w:cs="宋体"/>
          <w:kern w:val="2"/>
          <w:sz w:val="21"/>
        </w:rPr>
      </w:pPr>
      <w:r>
        <w:rPr>
          <w:rFonts w:hint="eastAsia" w:hAnsi="宋体" w:cs="宋体"/>
          <w:sz w:val="21"/>
        </w:rPr>
        <w:t>19</w:t>
      </w:r>
      <w:r>
        <w:rPr>
          <w:rFonts w:hint="eastAsia" w:hAnsi="宋体" w:cs="宋体"/>
        </w:rPr>
        <w:t>.</w:t>
      </w:r>
      <w:r>
        <w:rPr>
          <w:rFonts w:hint="eastAsia" w:hAnsi="宋体" w:cs="宋体"/>
          <w:kern w:val="2"/>
          <w:sz w:val="21"/>
        </w:rPr>
        <w:t>7 无效磋商条款，磋商响应文件如有下列情况之一，在评审中按照无效磋商处理：</w:t>
      </w:r>
    </w:p>
    <w:p w14:paraId="6C2D87D3">
      <w:pPr>
        <w:pStyle w:val="28"/>
        <w:spacing w:line="440" w:lineRule="exact"/>
        <w:ind w:left="2" w:leftChars="1" w:firstLine="420" w:firstLineChars="200"/>
        <w:rPr>
          <w:rFonts w:hAnsi="宋体" w:cs="宋体"/>
          <w:kern w:val="2"/>
          <w:sz w:val="21"/>
        </w:rPr>
      </w:pPr>
      <w:r>
        <w:rPr>
          <w:rFonts w:hint="eastAsia" w:hAnsi="宋体" w:cs="宋体"/>
          <w:kern w:val="2"/>
          <w:sz w:val="21"/>
        </w:rPr>
        <w:t>（1）应交未交磋商保证金的（如采购文件要求交纳磋商保证金的）；</w:t>
      </w:r>
    </w:p>
    <w:p w14:paraId="5FD87803">
      <w:pPr>
        <w:pStyle w:val="28"/>
        <w:spacing w:line="440" w:lineRule="exact"/>
        <w:ind w:left="2" w:leftChars="1" w:firstLine="420" w:firstLineChars="200"/>
        <w:rPr>
          <w:rFonts w:hAnsi="宋体" w:cs="宋体"/>
          <w:kern w:val="2"/>
          <w:sz w:val="21"/>
        </w:rPr>
      </w:pPr>
      <w:r>
        <w:rPr>
          <w:rFonts w:hint="eastAsia" w:hAnsi="宋体" w:cs="宋体"/>
          <w:kern w:val="2"/>
          <w:sz w:val="21"/>
        </w:rPr>
        <w:t>（2）未按照磋商文件规定要求密封、签署、盖章的；</w:t>
      </w:r>
    </w:p>
    <w:p w14:paraId="2044494A">
      <w:pPr>
        <w:pStyle w:val="28"/>
        <w:spacing w:line="440" w:lineRule="exact"/>
        <w:ind w:left="2" w:leftChars="1" w:firstLine="420" w:firstLineChars="200"/>
        <w:rPr>
          <w:rFonts w:hAnsi="宋体" w:cs="宋体"/>
          <w:kern w:val="2"/>
          <w:sz w:val="21"/>
        </w:rPr>
      </w:pPr>
      <w:r>
        <w:rPr>
          <w:rFonts w:hint="eastAsia" w:hAnsi="宋体" w:cs="宋体"/>
          <w:kern w:val="2"/>
          <w:sz w:val="21"/>
        </w:rPr>
        <w:t>（3）不具备磋商文件中规定资格要求的；</w:t>
      </w:r>
    </w:p>
    <w:p w14:paraId="6B1CCD70">
      <w:pPr>
        <w:pStyle w:val="28"/>
        <w:spacing w:line="440" w:lineRule="exact"/>
        <w:ind w:left="2" w:leftChars="1" w:firstLine="420" w:firstLineChars="200"/>
        <w:rPr>
          <w:rFonts w:hAnsi="宋体" w:cs="宋体"/>
          <w:kern w:val="2"/>
          <w:sz w:val="21"/>
        </w:rPr>
      </w:pPr>
      <w:r>
        <w:rPr>
          <w:rFonts w:hint="eastAsia" w:hAnsi="宋体" w:cs="宋体"/>
          <w:kern w:val="2"/>
          <w:sz w:val="21"/>
        </w:rPr>
        <w:t>（4）不符合法律、法规、磋商文件规定要求的；</w:t>
      </w:r>
    </w:p>
    <w:p w14:paraId="45C756BA">
      <w:pPr>
        <w:pStyle w:val="28"/>
        <w:spacing w:line="440" w:lineRule="exact"/>
        <w:ind w:left="2" w:leftChars="1" w:firstLine="420" w:firstLineChars="200"/>
        <w:rPr>
          <w:rFonts w:hAnsi="宋体" w:cs="宋体"/>
          <w:kern w:val="2"/>
          <w:sz w:val="21"/>
        </w:rPr>
      </w:pPr>
      <w:r>
        <w:rPr>
          <w:rFonts w:hint="eastAsia" w:hAnsi="宋体" w:cs="宋体"/>
          <w:kern w:val="2"/>
          <w:sz w:val="21"/>
        </w:rPr>
        <w:t>（5）不符合磋商文件中规定的实质性要求并且在磋商规定的时间内无法说明和补充的。</w:t>
      </w:r>
    </w:p>
    <w:p w14:paraId="630CE016">
      <w:pPr>
        <w:widowControl/>
        <w:spacing w:line="440" w:lineRule="exact"/>
        <w:ind w:firstLine="422" w:firstLineChars="200"/>
        <w:jc w:val="left"/>
        <w:rPr>
          <w:rFonts w:ascii="宋体" w:hAnsi="宋体" w:cs="宋体"/>
          <w:b/>
          <w:bCs/>
          <w:szCs w:val="21"/>
        </w:rPr>
      </w:pPr>
      <w:r>
        <w:rPr>
          <w:rFonts w:hint="eastAsia" w:ascii="宋体" w:hAnsi="宋体" w:cs="宋体"/>
          <w:b/>
          <w:bCs/>
          <w:szCs w:val="21"/>
        </w:rPr>
        <w:t>20.出现下列情形之一的，采购人或者采购代理机构应当终止竞争性磋商采购活动，发布项目终止公告并说明原因，重新开展采购活动：</w:t>
      </w:r>
    </w:p>
    <w:p w14:paraId="242B87EA">
      <w:pPr>
        <w:widowControl/>
        <w:spacing w:line="460" w:lineRule="exact"/>
        <w:ind w:firstLine="420" w:firstLineChars="200"/>
        <w:jc w:val="left"/>
        <w:rPr>
          <w:rFonts w:ascii="宋体" w:hAnsi="宋体" w:cs="宋体"/>
          <w:szCs w:val="21"/>
        </w:rPr>
      </w:pPr>
      <w:r>
        <w:rPr>
          <w:rFonts w:hint="eastAsia" w:ascii="宋体" w:hAnsi="宋体" w:cs="宋体"/>
          <w:szCs w:val="21"/>
        </w:rPr>
        <w:t>（1）因情况变化，不再符合规定的竞争性磋商采购方式适用情形的；</w:t>
      </w:r>
    </w:p>
    <w:p w14:paraId="266E0F1D">
      <w:pPr>
        <w:widowControl/>
        <w:spacing w:line="460" w:lineRule="exact"/>
        <w:ind w:firstLine="420" w:firstLineChars="200"/>
        <w:jc w:val="left"/>
        <w:rPr>
          <w:rFonts w:ascii="宋体" w:hAnsi="宋体" w:cs="宋体"/>
          <w:szCs w:val="21"/>
        </w:rPr>
      </w:pPr>
      <w:r>
        <w:rPr>
          <w:rFonts w:hint="eastAsia" w:ascii="宋体" w:hAnsi="宋体" w:cs="宋体"/>
          <w:szCs w:val="21"/>
        </w:rPr>
        <w:t>（2）出现影响采购公正的违法、违规行为的；</w:t>
      </w:r>
    </w:p>
    <w:p w14:paraId="1770479A">
      <w:pPr>
        <w:widowControl/>
        <w:spacing w:line="460" w:lineRule="exact"/>
        <w:ind w:firstLine="420" w:firstLineChars="200"/>
        <w:jc w:val="left"/>
        <w:rPr>
          <w:rFonts w:ascii="宋体" w:hAnsi="宋体" w:cs="宋体"/>
          <w:szCs w:val="21"/>
        </w:rPr>
      </w:pPr>
      <w:r>
        <w:rPr>
          <w:rFonts w:hint="eastAsia" w:ascii="宋体" w:hAnsi="宋体" w:cs="宋体"/>
          <w:szCs w:val="21"/>
        </w:rPr>
        <w:t>（3）除本须知15.5.3、15.5.4及法律法规规定的情形外，在采购过程中符合要求的供应商或者报价未超过采购预算的供应商不足3家的。</w:t>
      </w:r>
    </w:p>
    <w:p w14:paraId="2A7D1520">
      <w:pPr>
        <w:widowControl/>
        <w:spacing w:line="460" w:lineRule="exact"/>
        <w:ind w:firstLine="420" w:firstLineChars="200"/>
        <w:jc w:val="left"/>
        <w:rPr>
          <w:rFonts w:ascii="宋体" w:hAnsi="宋体" w:cs="宋体"/>
          <w:szCs w:val="21"/>
        </w:rPr>
      </w:pPr>
      <w:r>
        <w:rPr>
          <w:rFonts w:hint="eastAsia" w:ascii="宋体" w:hAnsi="宋体" w:cs="宋体"/>
          <w:szCs w:val="21"/>
        </w:rPr>
        <w:t>21.在采购活动中因重大变故，采购任务取消的，采购人或者采购代理机构应当终止采购活动，通知所有参加采购活动的供应商。</w:t>
      </w:r>
    </w:p>
    <w:p w14:paraId="5657BE4D">
      <w:pPr>
        <w:spacing w:line="460" w:lineRule="exact"/>
        <w:ind w:firstLine="420" w:firstLineChars="200"/>
        <w:rPr>
          <w:rFonts w:ascii="宋体" w:hAnsi="宋体" w:cs="宋体"/>
          <w:bCs/>
          <w:szCs w:val="21"/>
        </w:rPr>
      </w:pPr>
      <w:r>
        <w:rPr>
          <w:rFonts w:hint="eastAsia" w:ascii="宋体" w:hAnsi="宋体" w:cs="宋体"/>
          <w:bCs/>
          <w:szCs w:val="21"/>
        </w:rPr>
        <w:t>22</w:t>
      </w:r>
      <w:r>
        <w:rPr>
          <w:rFonts w:hint="eastAsia" w:ascii="宋体" w:hAnsi="宋体" w:cs="宋体"/>
          <w:szCs w:val="21"/>
        </w:rPr>
        <w:t>.</w:t>
      </w:r>
      <w:r>
        <w:rPr>
          <w:rFonts w:hint="eastAsia" w:ascii="宋体" w:hAnsi="宋体" w:cs="宋体"/>
          <w:bCs/>
          <w:szCs w:val="21"/>
        </w:rPr>
        <w:t>确定成交供应商办法及结果公告</w:t>
      </w:r>
    </w:p>
    <w:p w14:paraId="04DEFD82">
      <w:pPr>
        <w:spacing w:line="460" w:lineRule="exact"/>
        <w:ind w:firstLine="420" w:firstLineChars="200"/>
        <w:rPr>
          <w:rFonts w:ascii="宋体" w:hAnsi="宋体" w:cs="宋体"/>
          <w:kern w:val="0"/>
          <w:szCs w:val="21"/>
        </w:rPr>
      </w:pPr>
      <w:r>
        <w:rPr>
          <w:rFonts w:hint="eastAsia" w:ascii="宋体" w:hAnsi="宋体" w:cs="宋体"/>
          <w:kern w:val="0"/>
          <w:szCs w:val="21"/>
        </w:rPr>
        <w:t>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A2A1B4B">
      <w:pPr>
        <w:spacing w:line="460" w:lineRule="exact"/>
        <w:ind w:firstLine="420" w:firstLineChars="200"/>
        <w:rPr>
          <w:rFonts w:ascii="宋体" w:hAnsi="宋体" w:cs="宋体"/>
          <w:szCs w:val="21"/>
        </w:rPr>
      </w:pPr>
      <w:r>
        <w:rPr>
          <w:rFonts w:hint="eastAsia" w:ascii="宋体" w:hAnsi="宋体" w:cs="宋体"/>
          <w:szCs w:val="21"/>
        </w:rPr>
        <w:t>23. 采购代理机构应当在成交供应商确定后2个工作日内，在采购公告发布的媒体的媒体上公告成交结果，同时向成交供应商发出成交通知书。</w:t>
      </w:r>
    </w:p>
    <w:p w14:paraId="3E0FDE10">
      <w:pPr>
        <w:spacing w:line="460" w:lineRule="exact"/>
        <w:ind w:firstLine="420" w:firstLineChars="200"/>
        <w:rPr>
          <w:rFonts w:ascii="宋体" w:hAnsi="宋体" w:cs="宋体"/>
          <w:szCs w:val="21"/>
        </w:rPr>
      </w:pPr>
      <w:r>
        <w:rPr>
          <w:rFonts w:hint="eastAsia" w:ascii="宋体" w:hAnsi="宋体" w:cs="宋体"/>
          <w:szCs w:val="21"/>
        </w:rPr>
        <w:t>23.1参照《中华人民共和国政府采购法实施条例》第四十三条及《政府采购竞争性磋商采购方式管理暂行办法》财库〔2014〕214号第二十九条规定，成交结果公告内容包括成交供应商名称、地址和成交金额，主要成交标的的名称、规格型号、数量、单价、服务要求。</w:t>
      </w:r>
    </w:p>
    <w:p w14:paraId="71B9CC54">
      <w:pPr>
        <w:spacing w:line="460" w:lineRule="exact"/>
        <w:ind w:firstLine="420" w:firstLineChars="200"/>
        <w:rPr>
          <w:rFonts w:ascii="宋体" w:hAnsi="宋体" w:cs="宋体"/>
          <w:szCs w:val="21"/>
        </w:rPr>
      </w:pPr>
      <w:r>
        <w:rPr>
          <w:rFonts w:hint="eastAsia" w:ascii="宋体" w:hAnsi="宋体" w:cs="宋体"/>
          <w:szCs w:val="21"/>
        </w:rPr>
        <w:t>24.履约保证金(如有)</w:t>
      </w:r>
    </w:p>
    <w:p w14:paraId="3E150F9C">
      <w:pPr>
        <w:spacing w:line="460" w:lineRule="exact"/>
        <w:ind w:firstLine="420" w:firstLineChars="200"/>
        <w:rPr>
          <w:rFonts w:ascii="宋体" w:hAnsi="宋体" w:cs="宋体"/>
          <w:szCs w:val="21"/>
        </w:rPr>
      </w:pPr>
      <w:r>
        <w:rPr>
          <w:rFonts w:hint="eastAsia" w:ascii="宋体" w:hAnsi="宋体" w:cs="宋体"/>
          <w:szCs w:val="21"/>
        </w:rPr>
        <w:t>24.1成交人应按供应商须知前附表规定的履约保证金的金额、方式，在签订合同前缴纳给采购人指定账户。否则,不予签订合同。</w:t>
      </w:r>
    </w:p>
    <w:p w14:paraId="16863F8F">
      <w:pPr>
        <w:spacing w:line="460" w:lineRule="exact"/>
        <w:ind w:firstLine="420" w:firstLineChars="200"/>
        <w:rPr>
          <w:rFonts w:ascii="宋体" w:hAnsi="宋体" w:cs="宋体"/>
          <w:szCs w:val="21"/>
        </w:rPr>
      </w:pPr>
      <w:r>
        <w:rPr>
          <w:rFonts w:hint="eastAsia" w:ascii="宋体" w:hAnsi="宋体" w:cs="宋体"/>
        </w:rPr>
        <w:t>24.2</w:t>
      </w:r>
      <w:r>
        <w:rPr>
          <w:rFonts w:hint="eastAsia" w:ascii="宋体" w:hAnsi="宋体" w:cs="宋体"/>
          <w:szCs w:val="21"/>
        </w:rPr>
        <w:t>履约保证金作为违约金的一部分及用于补偿采购人因成交人不能完成其合同义务而蒙受的损失。如成交人不按双方签订的合同规定履约，则不予退还其全部履约保证金，履约保证金不足以赔偿损失的，按实际损失赔偿。</w:t>
      </w:r>
    </w:p>
    <w:p w14:paraId="2D9E8856">
      <w:pPr>
        <w:spacing w:line="460" w:lineRule="exact"/>
        <w:ind w:firstLine="420" w:firstLineChars="200"/>
        <w:rPr>
          <w:rFonts w:ascii="宋体" w:hAnsi="宋体" w:cs="宋体"/>
          <w:szCs w:val="21"/>
        </w:rPr>
      </w:pPr>
      <w:r>
        <w:rPr>
          <w:rFonts w:hint="eastAsia" w:ascii="宋体" w:hAnsi="宋体" w:cs="宋体"/>
        </w:rPr>
        <w:t>24.3</w:t>
      </w:r>
      <w:r>
        <w:rPr>
          <w:rFonts w:hint="eastAsia" w:ascii="宋体" w:hAnsi="宋体" w:cs="宋体"/>
          <w:szCs w:val="21"/>
        </w:rPr>
        <w:t>履约担保的有效期应当自本合同生效之日起至采购人签认验收合格之日止。项目验收合格，成交人向采购人办理成果移交手续后，由成交人向采购人提供《采购项目履约保证金退付意见书》及《采购项目合同验收报告》（详见附件），采购人在收到合格材料后5个日历天内扣减成交人赔偿金和其他应从成交人扣回的款项后，将履约保证金的余额退还给成交人（无息）。</w:t>
      </w:r>
    </w:p>
    <w:p w14:paraId="60B05C0E">
      <w:pPr>
        <w:spacing w:line="460" w:lineRule="exact"/>
        <w:ind w:firstLine="420" w:firstLineChars="200"/>
        <w:rPr>
          <w:rFonts w:ascii="宋体" w:hAnsi="宋体" w:cs="宋体"/>
          <w:szCs w:val="21"/>
        </w:rPr>
      </w:pPr>
      <w:r>
        <w:rPr>
          <w:rFonts w:hint="eastAsia" w:ascii="宋体" w:hAnsi="宋体" w:cs="宋体"/>
        </w:rPr>
        <w:t>24.4</w:t>
      </w:r>
      <w:r>
        <w:rPr>
          <w:rFonts w:hint="eastAsia" w:ascii="宋体" w:hAnsi="宋体" w:cs="宋体"/>
          <w:szCs w:val="21"/>
        </w:rPr>
        <w:t>在履约保证金退还日期前，若成交人的开户名称、开户银行、帐号有变动的，请以书面形式通知采购人，否则由此产生的后果由成交人自负。</w:t>
      </w:r>
    </w:p>
    <w:p w14:paraId="1FC7FDCC">
      <w:pPr>
        <w:spacing w:line="460" w:lineRule="exact"/>
        <w:ind w:firstLine="420" w:firstLineChars="200"/>
        <w:rPr>
          <w:rFonts w:ascii="宋体" w:hAnsi="宋体" w:cs="宋体"/>
          <w:szCs w:val="21"/>
        </w:rPr>
      </w:pPr>
      <w:r>
        <w:rPr>
          <w:rFonts w:hint="eastAsia" w:ascii="宋体" w:hAnsi="宋体" w:cs="宋体"/>
          <w:szCs w:val="21"/>
        </w:rPr>
        <w:t>25.签订合同</w:t>
      </w:r>
    </w:p>
    <w:p w14:paraId="47AA4B63">
      <w:pPr>
        <w:spacing w:line="460" w:lineRule="exact"/>
        <w:ind w:firstLine="420" w:firstLineChars="200"/>
        <w:rPr>
          <w:rFonts w:ascii="宋体" w:hAnsi="宋体" w:cs="宋体"/>
          <w:szCs w:val="21"/>
        </w:rPr>
      </w:pPr>
      <w:r>
        <w:rPr>
          <w:rFonts w:hint="eastAsia" w:ascii="宋体" w:hAnsi="宋体" w:cs="宋体"/>
          <w:szCs w:val="21"/>
        </w:rPr>
        <w:t>25.1成交供应商在收到成交通知书后，在25日内必须与采购人签订采购合同。</w:t>
      </w:r>
    </w:p>
    <w:p w14:paraId="21072BB3">
      <w:pPr>
        <w:spacing w:line="460" w:lineRule="exact"/>
        <w:ind w:firstLine="420" w:firstLineChars="200"/>
        <w:rPr>
          <w:rFonts w:ascii="宋体" w:hAnsi="宋体" w:cs="宋体"/>
          <w:szCs w:val="21"/>
        </w:rPr>
      </w:pPr>
      <w:r>
        <w:rPr>
          <w:rFonts w:hint="eastAsia" w:ascii="宋体" w:hAnsi="宋体" w:cs="宋体"/>
          <w:szCs w:val="21"/>
        </w:rPr>
        <w:t>25.2成交供应商拒绝签订采购合同的，采购人可以按本项目确定成交供应商办法确定其他候选供应商作为成交供应商并签订采购合同，也可以重新开展采购活动。拒绝签订采购合同的成交供应商不得参加对该项目重新开展的采购活动，其磋商保证金不予退还。</w:t>
      </w:r>
    </w:p>
    <w:p w14:paraId="682C4B78">
      <w:pPr>
        <w:spacing w:line="460" w:lineRule="exact"/>
        <w:ind w:firstLine="420" w:firstLineChars="200"/>
        <w:rPr>
          <w:rFonts w:ascii="宋体" w:hAnsi="宋体" w:cs="宋体"/>
          <w:szCs w:val="21"/>
        </w:rPr>
      </w:pPr>
      <w:r>
        <w:rPr>
          <w:rFonts w:hint="eastAsia" w:ascii="宋体" w:hAnsi="宋体" w:cs="宋体"/>
          <w:szCs w:val="21"/>
        </w:rPr>
        <w:t>26.采购合同归档</w:t>
      </w:r>
    </w:p>
    <w:p w14:paraId="4A1BF908">
      <w:pPr>
        <w:spacing w:line="460" w:lineRule="exact"/>
        <w:ind w:firstLine="420" w:firstLineChars="200"/>
        <w:rPr>
          <w:rFonts w:ascii="宋体" w:hAnsi="宋体" w:cs="宋体"/>
          <w:b/>
          <w:szCs w:val="21"/>
        </w:rPr>
      </w:pPr>
      <w:r>
        <w:rPr>
          <w:rFonts w:hint="eastAsia" w:ascii="宋体" w:hAnsi="宋体" w:cs="宋体"/>
          <w:szCs w:val="21"/>
        </w:rPr>
        <w:t>自签订合同后2个工作日由供应商将采购合同送达代理机构。</w:t>
      </w:r>
    </w:p>
    <w:p w14:paraId="344E59D8">
      <w:pPr>
        <w:spacing w:line="460" w:lineRule="exact"/>
        <w:ind w:firstLine="422" w:firstLineChars="200"/>
        <w:rPr>
          <w:rFonts w:ascii="宋体" w:hAnsi="宋体" w:cs="宋体"/>
          <w:b/>
          <w:szCs w:val="21"/>
        </w:rPr>
      </w:pPr>
      <w:r>
        <w:rPr>
          <w:rFonts w:hint="eastAsia" w:ascii="宋体" w:hAnsi="宋体" w:cs="宋体"/>
          <w:b/>
          <w:szCs w:val="21"/>
        </w:rPr>
        <w:t>27</w:t>
      </w:r>
      <w:r>
        <w:rPr>
          <w:rFonts w:hint="eastAsia" w:ascii="宋体" w:hAnsi="宋体" w:cs="宋体"/>
          <w:szCs w:val="21"/>
        </w:rPr>
        <w:t>.</w:t>
      </w:r>
      <w:r>
        <w:rPr>
          <w:rFonts w:hint="eastAsia" w:ascii="宋体" w:hAnsi="宋体" w:cs="宋体"/>
          <w:b/>
          <w:szCs w:val="21"/>
        </w:rPr>
        <w:t>适用法律</w:t>
      </w:r>
    </w:p>
    <w:p w14:paraId="41148E05">
      <w:pPr>
        <w:tabs>
          <w:tab w:val="left" w:pos="2835"/>
        </w:tabs>
        <w:spacing w:line="460" w:lineRule="exact"/>
        <w:ind w:firstLine="420" w:firstLineChars="200"/>
        <w:rPr>
          <w:rFonts w:ascii="宋体" w:hAnsi="宋体" w:cs="宋体"/>
          <w:szCs w:val="21"/>
        </w:rPr>
      </w:pPr>
      <w:r>
        <w:rPr>
          <w:rFonts w:hint="eastAsia" w:ascii="宋体" w:hAnsi="宋体" w:cs="宋体"/>
          <w:szCs w:val="21"/>
        </w:rPr>
        <w:t>27.</w:t>
      </w:r>
      <w:r>
        <w:rPr>
          <w:rFonts w:hint="eastAsia" w:ascii="宋体" w:hAnsi="宋体" w:cs="宋体"/>
        </w:rPr>
        <w:t>1</w:t>
      </w:r>
      <w:r>
        <w:rPr>
          <w:rFonts w:hint="eastAsia" w:ascii="宋体" w:hAnsi="宋体" w:cs="宋体"/>
          <w:szCs w:val="21"/>
        </w:rPr>
        <w:t>采购当事人的一切活动均参照《中华人民共和国政府采购法》、《政府采购竞争性磋商采购方式管理暂行办法》及相关规定。</w:t>
      </w:r>
    </w:p>
    <w:p w14:paraId="1AE64289">
      <w:pPr>
        <w:spacing w:line="460" w:lineRule="exact"/>
        <w:ind w:firstLine="422" w:firstLineChars="200"/>
        <w:rPr>
          <w:rFonts w:ascii="宋体" w:hAnsi="宋体" w:cs="宋体"/>
          <w:b/>
          <w:szCs w:val="21"/>
        </w:rPr>
      </w:pPr>
      <w:r>
        <w:rPr>
          <w:rFonts w:hint="eastAsia" w:ascii="宋体" w:hAnsi="宋体" w:cs="宋体"/>
          <w:b/>
          <w:szCs w:val="21"/>
        </w:rPr>
        <w:t>28</w:t>
      </w:r>
      <w:r>
        <w:rPr>
          <w:rFonts w:hint="eastAsia" w:ascii="宋体" w:hAnsi="宋体" w:cs="宋体"/>
          <w:szCs w:val="21"/>
        </w:rPr>
        <w:t>.</w:t>
      </w:r>
      <w:r>
        <w:rPr>
          <w:rFonts w:hint="eastAsia" w:ascii="宋体" w:hAnsi="宋体" w:cs="宋体"/>
          <w:b/>
          <w:szCs w:val="21"/>
        </w:rPr>
        <w:t>其它内容</w:t>
      </w:r>
    </w:p>
    <w:p w14:paraId="57FA6DD1">
      <w:pPr>
        <w:pStyle w:val="28"/>
        <w:spacing w:line="460" w:lineRule="exact"/>
        <w:ind w:firstLine="420" w:firstLineChars="200"/>
        <w:rPr>
          <w:rFonts w:hAnsi="宋体" w:cs="宋体"/>
          <w:kern w:val="2"/>
          <w:sz w:val="21"/>
        </w:rPr>
      </w:pPr>
      <w:r>
        <w:rPr>
          <w:rFonts w:hint="eastAsia" w:hAnsi="宋体" w:cs="宋体"/>
          <w:kern w:val="2"/>
          <w:sz w:val="21"/>
        </w:rPr>
        <w:t>28.1询问、质疑和投诉</w:t>
      </w:r>
    </w:p>
    <w:p w14:paraId="75C08F54">
      <w:pPr>
        <w:pStyle w:val="5"/>
        <w:shd w:val="clear" w:color="auto" w:fill="FFFFFF"/>
        <w:spacing w:before="0" w:after="0" w:line="460" w:lineRule="exact"/>
        <w:ind w:firstLine="420" w:firstLineChars="200"/>
        <w:rPr>
          <w:rFonts w:ascii="宋体" w:hAnsi="宋体" w:cs="宋体"/>
          <w:b w:val="0"/>
          <w:bCs w:val="0"/>
          <w:sz w:val="21"/>
          <w:szCs w:val="21"/>
        </w:rPr>
      </w:pPr>
      <w:bookmarkStart w:id="20" w:name="_Toc2710"/>
      <w:r>
        <w:rPr>
          <w:rFonts w:hint="eastAsia" w:ascii="宋体" w:hAnsi="宋体" w:cs="宋体"/>
          <w:b w:val="0"/>
          <w:bCs w:val="0"/>
          <w:sz w:val="21"/>
          <w:szCs w:val="21"/>
        </w:rPr>
        <w:t>28.1.1供应商认为采购文件、采购过程或成交结果使自己的合法权益受到损害的，应当在知道或者应知其权益受到损害之日起七个工作日内，以书面形式向采购人、采购代理机构提出质疑。</w:t>
      </w:r>
      <w:bookmarkEnd w:id="20"/>
    </w:p>
    <w:p w14:paraId="17986823">
      <w:pPr>
        <w:spacing w:line="460" w:lineRule="exact"/>
        <w:ind w:firstLine="420" w:firstLineChars="200"/>
        <w:rPr>
          <w:rFonts w:ascii="宋体" w:hAnsi="宋体" w:cs="宋体"/>
          <w:szCs w:val="21"/>
        </w:rPr>
      </w:pPr>
      <w:r>
        <w:rPr>
          <w:rFonts w:hint="eastAsia" w:ascii="宋体" w:hAnsi="宋体" w:cs="宋体"/>
          <w:szCs w:val="21"/>
        </w:rPr>
        <w:t xml:space="preserve">28.1.2提出质疑的供应商应当是参与所质疑项目采购活动的供应商，质疑函应参照财政部发布《政府采购供应商质疑函范本》编制，质疑函内容或格式不符合其规定的，供应商应按该范本要求进行修改后重新提交。其必须在法定质疑期内一次性提出针对同一采购程序环节的质疑。供应商对同一采购程序环节重复提出质疑的，采购代理机构将不予受理。且其质疑行为和质疑函内容应当符合《政府采购质疑和投诉办法》（中华人民共和国财政部令第94号）规定。 </w:t>
      </w:r>
    </w:p>
    <w:p w14:paraId="1467AB74">
      <w:pPr>
        <w:pStyle w:val="5"/>
        <w:shd w:val="clear" w:color="auto" w:fill="FFFFFF"/>
        <w:spacing w:before="0" w:after="0" w:line="460" w:lineRule="exact"/>
        <w:ind w:firstLine="420" w:firstLineChars="200"/>
        <w:rPr>
          <w:rFonts w:ascii="宋体" w:hAnsi="宋体" w:cs="宋体"/>
          <w:b w:val="0"/>
          <w:bCs w:val="0"/>
          <w:sz w:val="21"/>
          <w:szCs w:val="21"/>
        </w:rPr>
      </w:pPr>
      <w:bookmarkStart w:id="21" w:name="_Toc10096"/>
      <w:r>
        <w:rPr>
          <w:rFonts w:hint="eastAsia" w:ascii="宋体" w:hAnsi="宋体" w:cs="宋体"/>
          <w:b w:val="0"/>
          <w:bCs w:val="0"/>
          <w:sz w:val="21"/>
          <w:szCs w:val="21"/>
        </w:rPr>
        <w:t>质疑具体计算时间节点如下：</w:t>
      </w:r>
      <w:bookmarkEnd w:id="21"/>
    </w:p>
    <w:p w14:paraId="13410773">
      <w:pPr>
        <w:spacing w:line="460" w:lineRule="exact"/>
        <w:ind w:firstLine="420" w:firstLineChars="200"/>
        <w:rPr>
          <w:rFonts w:ascii="宋体" w:hAnsi="宋体" w:cs="宋体"/>
          <w:szCs w:val="21"/>
        </w:rPr>
      </w:pPr>
      <w:r>
        <w:rPr>
          <w:rFonts w:hint="eastAsia" w:ascii="宋体" w:hAnsi="宋体" w:cs="宋体"/>
          <w:szCs w:val="21"/>
        </w:rPr>
        <w:t>（1）对可以质疑的采购文件提出质疑的，为收到采购文件之日；</w:t>
      </w:r>
    </w:p>
    <w:p w14:paraId="2FA6CD4E">
      <w:pPr>
        <w:spacing w:line="460" w:lineRule="exact"/>
        <w:ind w:firstLine="420" w:firstLineChars="200"/>
        <w:rPr>
          <w:rFonts w:ascii="宋体" w:hAnsi="宋体" w:cs="宋体"/>
          <w:szCs w:val="21"/>
        </w:rPr>
      </w:pPr>
      <w:r>
        <w:rPr>
          <w:rFonts w:hint="eastAsia" w:ascii="宋体" w:hAnsi="宋体" w:cs="宋体"/>
          <w:szCs w:val="21"/>
        </w:rPr>
        <w:t>（2）对采购过程提出质疑的，为各采购程序环节结束之日；</w:t>
      </w:r>
    </w:p>
    <w:p w14:paraId="12DCFDEB">
      <w:pPr>
        <w:spacing w:line="460" w:lineRule="exact"/>
        <w:ind w:firstLine="420" w:firstLineChars="200"/>
        <w:rPr>
          <w:rFonts w:ascii="宋体" w:hAnsi="宋体" w:cs="宋体"/>
          <w:szCs w:val="21"/>
        </w:rPr>
      </w:pPr>
      <w:r>
        <w:rPr>
          <w:rFonts w:hint="eastAsia" w:ascii="宋体" w:hAnsi="宋体" w:cs="宋体"/>
          <w:szCs w:val="21"/>
        </w:rPr>
        <w:t>（3）对成交结果提出质疑的，为成交结果公告期限届满之日。</w:t>
      </w:r>
    </w:p>
    <w:p w14:paraId="14032B70">
      <w:pPr>
        <w:spacing w:line="460" w:lineRule="exact"/>
        <w:ind w:firstLine="420" w:firstLineChars="200"/>
        <w:rPr>
          <w:rFonts w:ascii="宋体" w:hAnsi="宋体" w:cs="宋体"/>
          <w:bCs/>
          <w:kern w:val="0"/>
          <w:szCs w:val="21"/>
        </w:rPr>
      </w:pPr>
      <w:r>
        <w:rPr>
          <w:rFonts w:hint="eastAsia" w:ascii="宋体" w:hAnsi="宋体" w:cs="宋体"/>
          <w:szCs w:val="21"/>
        </w:rPr>
        <w:t>供应商</w:t>
      </w:r>
      <w:r>
        <w:rPr>
          <w:rFonts w:hint="eastAsia" w:ascii="宋体" w:hAnsi="宋体" w:cs="宋体"/>
          <w:bCs/>
          <w:kern w:val="0"/>
          <w:szCs w:val="21"/>
        </w:rPr>
        <w:t>对采购人、采购代理机构的质疑答复不满意，或者采购人、采购代理机构未在规定时间内作出答复的，可以在答复期满后十五个工作日内向监督部门提起投诉。</w:t>
      </w:r>
    </w:p>
    <w:p w14:paraId="300A3069">
      <w:pPr>
        <w:spacing w:line="460" w:lineRule="exact"/>
        <w:ind w:firstLine="420" w:firstLineChars="200"/>
        <w:rPr>
          <w:rFonts w:ascii="宋体" w:hAnsi="宋体" w:cs="宋体"/>
          <w:bCs/>
          <w:kern w:val="0"/>
          <w:szCs w:val="21"/>
        </w:rPr>
      </w:pPr>
      <w:r>
        <w:rPr>
          <w:rFonts w:hint="eastAsia" w:ascii="宋体" w:hAnsi="宋体" w:cs="宋体"/>
          <w:bCs/>
          <w:kern w:val="0"/>
          <w:szCs w:val="21"/>
        </w:rPr>
        <w:t>28.2质疑、投诉应当采用书面形式，质疑书、投诉书均应明确阐述采购文件、采购过程或成交结果中使自己合法权益受到损害的实质性内容，提供相关事实、依据和证据及其来源或线索，便于有关单位调查、答复和处理。</w:t>
      </w:r>
    </w:p>
    <w:p w14:paraId="47EA6508">
      <w:pPr>
        <w:pStyle w:val="28"/>
        <w:spacing w:line="460" w:lineRule="exact"/>
        <w:ind w:firstLine="420" w:firstLineChars="200"/>
        <w:rPr>
          <w:rFonts w:hAnsi="宋体" w:cs="宋体"/>
          <w:bCs/>
          <w:sz w:val="21"/>
        </w:rPr>
      </w:pPr>
      <w:r>
        <w:rPr>
          <w:rFonts w:hint="eastAsia" w:hAnsi="宋体" w:cs="宋体"/>
          <w:bCs/>
          <w:sz w:val="21"/>
        </w:rPr>
        <w:t>28.3接收质疑函的方式：接收供应商或其委托代理人以书面形式递交的质疑函原件，委托代理人提出质疑的，还应当提交供应商签署的授权委托书。</w:t>
      </w:r>
    </w:p>
    <w:p w14:paraId="60635C1F">
      <w:pPr>
        <w:spacing w:line="460" w:lineRule="exact"/>
        <w:ind w:firstLine="420" w:firstLineChars="200"/>
        <w:rPr>
          <w:rFonts w:ascii="宋体" w:hAnsi="宋体" w:cs="宋体"/>
          <w:szCs w:val="21"/>
        </w:rPr>
      </w:pPr>
      <w:r>
        <w:rPr>
          <w:rFonts w:hint="eastAsia" w:ascii="宋体" w:hAnsi="宋体" w:cs="宋体"/>
          <w:bCs/>
          <w:szCs w:val="21"/>
        </w:rPr>
        <w:t>28.4 质疑函的递交</w:t>
      </w:r>
      <w:r>
        <w:rPr>
          <w:rFonts w:hint="eastAsia" w:ascii="宋体" w:hAnsi="宋体" w:cs="宋体"/>
          <w:szCs w:val="21"/>
        </w:rPr>
        <w:t>地址：南宁市青秀区茅桥路2号习艺基地A栋1号电梯3楼</w:t>
      </w:r>
    </w:p>
    <w:p w14:paraId="387EFF5C">
      <w:pPr>
        <w:pStyle w:val="28"/>
        <w:spacing w:line="460" w:lineRule="exact"/>
        <w:ind w:firstLine="1050" w:firstLineChars="500"/>
        <w:rPr>
          <w:rFonts w:hAnsi="宋体" w:cs="宋体"/>
          <w:kern w:val="2"/>
          <w:sz w:val="21"/>
        </w:rPr>
      </w:pPr>
      <w:r>
        <w:rPr>
          <w:rFonts w:hint="eastAsia" w:hAnsi="宋体" w:cs="宋体"/>
          <w:kern w:val="2"/>
          <w:sz w:val="21"/>
        </w:rPr>
        <w:t xml:space="preserve">联系人：谭工   联系电话：0771-2865989  </w:t>
      </w:r>
    </w:p>
    <w:p w14:paraId="484A7C7F">
      <w:pPr>
        <w:widowControl/>
        <w:spacing w:line="460" w:lineRule="exact"/>
        <w:ind w:firstLine="420" w:firstLineChars="200"/>
        <w:jc w:val="left"/>
        <w:rPr>
          <w:rFonts w:ascii="宋体" w:hAnsi="宋体" w:cs="宋体"/>
          <w:szCs w:val="21"/>
        </w:rPr>
      </w:pPr>
      <w:r>
        <w:rPr>
          <w:rFonts w:hint="eastAsia" w:ascii="宋体" w:hAnsi="宋体" w:cs="宋体"/>
          <w:bCs/>
        </w:rPr>
        <w:t>29.</w:t>
      </w:r>
      <w:r>
        <w:rPr>
          <w:rFonts w:hint="eastAsia" w:ascii="宋体" w:hAnsi="宋体" w:cs="宋体"/>
          <w:szCs w:val="21"/>
        </w:rPr>
        <w:t>代理服务收取标准及缴费账户详见“供应商须知前附表”。</w:t>
      </w:r>
    </w:p>
    <w:p w14:paraId="7B781C99">
      <w:pPr>
        <w:widowControl/>
        <w:spacing w:line="460" w:lineRule="exact"/>
        <w:ind w:firstLine="420" w:firstLineChars="200"/>
        <w:jc w:val="left"/>
        <w:rPr>
          <w:rFonts w:ascii="宋体" w:hAnsi="宋体" w:cs="宋体"/>
          <w:szCs w:val="21"/>
        </w:rPr>
      </w:pPr>
      <w:r>
        <w:rPr>
          <w:rFonts w:hint="eastAsia" w:ascii="宋体" w:hAnsi="宋体" w:cs="宋体"/>
          <w:szCs w:val="21"/>
        </w:rPr>
        <w:t>代理服务费收费计算标准：</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18"/>
        <w:gridCol w:w="1729"/>
        <w:gridCol w:w="1758"/>
        <w:gridCol w:w="1729"/>
      </w:tblGrid>
      <w:tr w14:paraId="066F4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5E2C7075">
            <w:pPr>
              <w:rPr>
                <w:rFonts w:ascii="宋体" w:hAnsi="宋体" w:cs="宋体"/>
              </w:rPr>
            </w:pPr>
            <w:r>
              <w:rPr>
                <w:rFonts w:hint="eastAsia" w:ascii="宋体" w:hAnsi="宋体" w:cs="宋体"/>
              </w:rPr>
              <w:t xml:space="preserve">               费率</w:t>
            </w:r>
          </w:p>
          <w:p w14:paraId="264D1AFF">
            <w:pPr>
              <w:rPr>
                <w:rFonts w:ascii="宋体" w:hAnsi="宋体" w:cs="宋体"/>
              </w:rPr>
            </w:pPr>
            <w:r>
              <w:rPr>
                <w:rFonts w:hint="eastAsia" w:ascii="宋体" w:hAnsi="宋体" w:cs="宋体"/>
              </w:rPr>
              <w:t>金额</w:t>
            </w:r>
          </w:p>
        </w:tc>
        <w:tc>
          <w:tcPr>
            <w:tcW w:w="1729" w:type="dxa"/>
            <w:vAlign w:val="center"/>
          </w:tcPr>
          <w:p w14:paraId="63D2351B">
            <w:pPr>
              <w:jc w:val="center"/>
              <w:rPr>
                <w:rFonts w:ascii="宋体" w:hAnsi="宋体" w:cs="宋体"/>
              </w:rPr>
            </w:pPr>
            <w:r>
              <w:rPr>
                <w:rFonts w:hint="eastAsia" w:ascii="宋体" w:hAnsi="宋体" w:cs="宋体"/>
              </w:rPr>
              <w:t>货物类</w:t>
            </w:r>
          </w:p>
        </w:tc>
        <w:tc>
          <w:tcPr>
            <w:tcW w:w="1758" w:type="dxa"/>
            <w:vAlign w:val="center"/>
          </w:tcPr>
          <w:p w14:paraId="1B84EA40">
            <w:pPr>
              <w:jc w:val="center"/>
              <w:rPr>
                <w:rFonts w:ascii="宋体" w:hAnsi="宋体" w:cs="宋体"/>
              </w:rPr>
            </w:pPr>
            <w:r>
              <w:rPr>
                <w:rFonts w:hint="eastAsia" w:ascii="宋体" w:hAnsi="宋体" w:cs="宋体"/>
              </w:rPr>
              <w:t>服务类</w:t>
            </w:r>
          </w:p>
        </w:tc>
        <w:tc>
          <w:tcPr>
            <w:tcW w:w="1729" w:type="dxa"/>
            <w:vAlign w:val="center"/>
          </w:tcPr>
          <w:p w14:paraId="4B136F56">
            <w:pPr>
              <w:jc w:val="center"/>
              <w:rPr>
                <w:rFonts w:ascii="宋体" w:hAnsi="宋体" w:cs="宋体"/>
              </w:rPr>
            </w:pPr>
            <w:r>
              <w:rPr>
                <w:rFonts w:hint="eastAsia" w:ascii="宋体" w:hAnsi="宋体" w:cs="宋体"/>
              </w:rPr>
              <w:t>工程类</w:t>
            </w:r>
          </w:p>
        </w:tc>
      </w:tr>
      <w:tr w14:paraId="1135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5177A06A">
            <w:pPr>
              <w:rPr>
                <w:rFonts w:ascii="宋体" w:hAnsi="宋体" w:cs="宋体"/>
              </w:rPr>
            </w:pPr>
            <w:r>
              <w:rPr>
                <w:rFonts w:hint="eastAsia" w:ascii="宋体" w:hAnsi="宋体" w:cs="宋体"/>
              </w:rPr>
              <w:t>100万元以下</w:t>
            </w:r>
          </w:p>
        </w:tc>
        <w:tc>
          <w:tcPr>
            <w:tcW w:w="1729" w:type="dxa"/>
          </w:tcPr>
          <w:p w14:paraId="45498D1F">
            <w:pPr>
              <w:ind w:left="315" w:leftChars="150"/>
              <w:rPr>
                <w:rFonts w:ascii="宋体" w:hAnsi="宋体" w:cs="宋体"/>
              </w:rPr>
            </w:pPr>
            <w:r>
              <w:rPr>
                <w:rFonts w:hint="eastAsia" w:ascii="宋体" w:hAnsi="宋体" w:cs="宋体"/>
                <w:kern w:val="0"/>
              </w:rPr>
              <w:t xml:space="preserve">  1.5%                </w:t>
            </w:r>
          </w:p>
        </w:tc>
        <w:tc>
          <w:tcPr>
            <w:tcW w:w="1758" w:type="dxa"/>
          </w:tcPr>
          <w:p w14:paraId="0236E8F8">
            <w:pPr>
              <w:ind w:left="315" w:leftChars="150" w:firstLine="210" w:firstLineChars="100"/>
              <w:rPr>
                <w:rFonts w:ascii="宋体" w:hAnsi="宋体" w:cs="宋体"/>
              </w:rPr>
            </w:pPr>
            <w:r>
              <w:rPr>
                <w:rFonts w:hint="eastAsia" w:ascii="宋体" w:hAnsi="宋体" w:cs="宋体"/>
                <w:kern w:val="0"/>
              </w:rPr>
              <w:t>1.5%</w:t>
            </w:r>
          </w:p>
        </w:tc>
        <w:tc>
          <w:tcPr>
            <w:tcW w:w="1729" w:type="dxa"/>
          </w:tcPr>
          <w:p w14:paraId="61D659BA">
            <w:pPr>
              <w:ind w:left="315" w:leftChars="150" w:firstLine="210" w:firstLineChars="100"/>
              <w:rPr>
                <w:rFonts w:ascii="宋体" w:hAnsi="宋体" w:cs="宋体"/>
              </w:rPr>
            </w:pPr>
            <w:r>
              <w:rPr>
                <w:rFonts w:hint="eastAsia" w:ascii="宋体" w:hAnsi="宋体" w:cs="宋体"/>
                <w:kern w:val="0"/>
              </w:rPr>
              <w:t xml:space="preserve">1.0% </w:t>
            </w:r>
          </w:p>
        </w:tc>
      </w:tr>
      <w:tr w14:paraId="7D2A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3E4036F9">
            <w:pPr>
              <w:rPr>
                <w:rFonts w:ascii="宋体" w:hAnsi="宋体" w:cs="宋体"/>
              </w:rPr>
            </w:pPr>
            <w:r>
              <w:rPr>
                <w:rFonts w:hint="eastAsia" w:ascii="宋体" w:hAnsi="宋体" w:cs="宋体"/>
              </w:rPr>
              <w:t>100～500万元</w:t>
            </w:r>
          </w:p>
        </w:tc>
        <w:tc>
          <w:tcPr>
            <w:tcW w:w="1729" w:type="dxa"/>
          </w:tcPr>
          <w:p w14:paraId="71005864">
            <w:pPr>
              <w:ind w:left="315" w:leftChars="150" w:firstLine="210" w:firstLineChars="100"/>
              <w:rPr>
                <w:rFonts w:ascii="宋体" w:hAnsi="宋体" w:cs="宋体"/>
              </w:rPr>
            </w:pPr>
            <w:r>
              <w:rPr>
                <w:rFonts w:hint="eastAsia" w:ascii="宋体" w:hAnsi="宋体" w:cs="宋体"/>
                <w:kern w:val="0"/>
              </w:rPr>
              <w:t xml:space="preserve">1.1%                 </w:t>
            </w:r>
          </w:p>
        </w:tc>
        <w:tc>
          <w:tcPr>
            <w:tcW w:w="1758" w:type="dxa"/>
          </w:tcPr>
          <w:p w14:paraId="2659FC79">
            <w:pPr>
              <w:ind w:left="315" w:leftChars="150" w:firstLine="210" w:firstLineChars="100"/>
              <w:rPr>
                <w:rFonts w:ascii="宋体" w:hAnsi="宋体" w:cs="宋体"/>
              </w:rPr>
            </w:pPr>
            <w:r>
              <w:rPr>
                <w:rFonts w:hint="eastAsia" w:ascii="宋体" w:hAnsi="宋体" w:cs="宋体"/>
                <w:kern w:val="0"/>
              </w:rPr>
              <w:t>0.8%</w:t>
            </w:r>
          </w:p>
        </w:tc>
        <w:tc>
          <w:tcPr>
            <w:tcW w:w="1729" w:type="dxa"/>
          </w:tcPr>
          <w:p w14:paraId="1126DA22">
            <w:pPr>
              <w:ind w:left="315" w:leftChars="150" w:firstLine="210" w:firstLineChars="100"/>
              <w:rPr>
                <w:rFonts w:ascii="宋体" w:hAnsi="宋体" w:cs="宋体"/>
              </w:rPr>
            </w:pPr>
            <w:r>
              <w:rPr>
                <w:rFonts w:hint="eastAsia" w:ascii="宋体" w:hAnsi="宋体" w:cs="宋体"/>
                <w:kern w:val="0"/>
              </w:rPr>
              <w:t xml:space="preserve">0.7% </w:t>
            </w:r>
          </w:p>
        </w:tc>
      </w:tr>
      <w:tr w14:paraId="12F09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5DC84CE8">
            <w:pPr>
              <w:rPr>
                <w:rFonts w:ascii="宋体" w:hAnsi="宋体" w:cs="宋体"/>
              </w:rPr>
            </w:pPr>
            <w:r>
              <w:rPr>
                <w:rFonts w:hint="eastAsia" w:ascii="宋体" w:hAnsi="宋体" w:cs="宋体"/>
              </w:rPr>
              <w:t>500～1000万元</w:t>
            </w:r>
          </w:p>
        </w:tc>
        <w:tc>
          <w:tcPr>
            <w:tcW w:w="1729" w:type="dxa"/>
          </w:tcPr>
          <w:p w14:paraId="320CD567">
            <w:pPr>
              <w:ind w:left="315" w:leftChars="150"/>
              <w:rPr>
                <w:rFonts w:ascii="宋体" w:hAnsi="宋体" w:cs="宋体"/>
              </w:rPr>
            </w:pPr>
            <w:r>
              <w:rPr>
                <w:rFonts w:hint="eastAsia" w:ascii="宋体" w:hAnsi="宋体" w:cs="宋体"/>
                <w:kern w:val="0"/>
              </w:rPr>
              <w:t xml:space="preserve">  0.8%                </w:t>
            </w:r>
          </w:p>
        </w:tc>
        <w:tc>
          <w:tcPr>
            <w:tcW w:w="1758" w:type="dxa"/>
          </w:tcPr>
          <w:p w14:paraId="6046F80D">
            <w:pPr>
              <w:ind w:left="315" w:leftChars="150" w:firstLine="210" w:firstLineChars="100"/>
              <w:rPr>
                <w:rFonts w:ascii="宋体" w:hAnsi="宋体" w:cs="宋体"/>
              </w:rPr>
            </w:pPr>
            <w:r>
              <w:rPr>
                <w:rFonts w:hint="eastAsia" w:ascii="宋体" w:hAnsi="宋体" w:cs="宋体"/>
                <w:kern w:val="0"/>
              </w:rPr>
              <w:t>0.45%</w:t>
            </w:r>
          </w:p>
        </w:tc>
        <w:tc>
          <w:tcPr>
            <w:tcW w:w="1729" w:type="dxa"/>
          </w:tcPr>
          <w:p w14:paraId="1E446E7B">
            <w:pPr>
              <w:ind w:left="315" w:leftChars="150" w:firstLine="210" w:firstLineChars="100"/>
              <w:rPr>
                <w:rFonts w:ascii="宋体" w:hAnsi="宋体" w:cs="宋体"/>
              </w:rPr>
            </w:pPr>
            <w:r>
              <w:rPr>
                <w:rFonts w:hint="eastAsia" w:ascii="宋体" w:hAnsi="宋体" w:cs="宋体"/>
                <w:kern w:val="0"/>
              </w:rPr>
              <w:t>0.55%</w:t>
            </w:r>
          </w:p>
        </w:tc>
      </w:tr>
      <w:tr w14:paraId="3969F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23666A67">
            <w:pPr>
              <w:rPr>
                <w:rFonts w:ascii="宋体" w:hAnsi="宋体" w:cs="宋体"/>
              </w:rPr>
            </w:pPr>
            <w:r>
              <w:rPr>
                <w:rFonts w:hint="eastAsia" w:ascii="宋体" w:hAnsi="宋体" w:cs="宋体"/>
              </w:rPr>
              <w:t>1000～5000万元</w:t>
            </w:r>
          </w:p>
        </w:tc>
        <w:tc>
          <w:tcPr>
            <w:tcW w:w="1729" w:type="dxa"/>
          </w:tcPr>
          <w:p w14:paraId="18176D61">
            <w:pPr>
              <w:ind w:left="315" w:leftChars="150" w:firstLine="210" w:firstLineChars="100"/>
              <w:rPr>
                <w:rFonts w:ascii="宋体" w:hAnsi="宋体" w:cs="宋体"/>
              </w:rPr>
            </w:pPr>
            <w:r>
              <w:rPr>
                <w:rFonts w:hint="eastAsia" w:ascii="宋体" w:hAnsi="宋体" w:cs="宋体"/>
                <w:kern w:val="0"/>
              </w:rPr>
              <w:t xml:space="preserve">0.5%                </w:t>
            </w:r>
          </w:p>
        </w:tc>
        <w:tc>
          <w:tcPr>
            <w:tcW w:w="1758" w:type="dxa"/>
          </w:tcPr>
          <w:p w14:paraId="20A70BF9">
            <w:pPr>
              <w:ind w:left="315" w:leftChars="150" w:firstLine="210" w:firstLineChars="100"/>
              <w:rPr>
                <w:rFonts w:ascii="宋体" w:hAnsi="宋体" w:cs="宋体"/>
              </w:rPr>
            </w:pPr>
            <w:r>
              <w:rPr>
                <w:rFonts w:hint="eastAsia" w:ascii="宋体" w:hAnsi="宋体" w:cs="宋体"/>
                <w:kern w:val="0"/>
              </w:rPr>
              <w:t>0.25%</w:t>
            </w:r>
          </w:p>
        </w:tc>
        <w:tc>
          <w:tcPr>
            <w:tcW w:w="1729" w:type="dxa"/>
          </w:tcPr>
          <w:p w14:paraId="26EA61F2">
            <w:pPr>
              <w:ind w:left="315" w:leftChars="150" w:firstLine="210" w:firstLineChars="100"/>
              <w:rPr>
                <w:rFonts w:ascii="宋体" w:hAnsi="宋体" w:cs="宋体"/>
              </w:rPr>
            </w:pPr>
            <w:r>
              <w:rPr>
                <w:rFonts w:hint="eastAsia" w:ascii="宋体" w:hAnsi="宋体" w:cs="宋体"/>
                <w:kern w:val="0"/>
              </w:rPr>
              <w:t xml:space="preserve">0.35% </w:t>
            </w:r>
          </w:p>
        </w:tc>
      </w:tr>
      <w:tr w14:paraId="0142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2D8AD85B">
            <w:pPr>
              <w:rPr>
                <w:rFonts w:ascii="宋体" w:hAnsi="宋体" w:cs="宋体"/>
              </w:rPr>
            </w:pPr>
            <w:r>
              <w:rPr>
                <w:rFonts w:hint="eastAsia" w:ascii="宋体" w:hAnsi="宋体" w:cs="宋体"/>
              </w:rPr>
              <w:t>5000万元～1亿元</w:t>
            </w:r>
          </w:p>
        </w:tc>
        <w:tc>
          <w:tcPr>
            <w:tcW w:w="1729" w:type="dxa"/>
          </w:tcPr>
          <w:p w14:paraId="6414F97A">
            <w:pPr>
              <w:ind w:left="315" w:leftChars="150" w:firstLine="210" w:firstLineChars="100"/>
              <w:rPr>
                <w:rFonts w:ascii="宋体" w:hAnsi="宋体" w:cs="宋体"/>
              </w:rPr>
            </w:pPr>
            <w:r>
              <w:rPr>
                <w:rFonts w:hint="eastAsia" w:ascii="宋体" w:hAnsi="宋体" w:cs="宋体"/>
                <w:kern w:val="0"/>
              </w:rPr>
              <w:t xml:space="preserve">0.25%                 </w:t>
            </w:r>
          </w:p>
        </w:tc>
        <w:tc>
          <w:tcPr>
            <w:tcW w:w="1758" w:type="dxa"/>
          </w:tcPr>
          <w:p w14:paraId="7DFE6528">
            <w:pPr>
              <w:ind w:left="315" w:leftChars="150" w:firstLine="210" w:firstLineChars="100"/>
              <w:rPr>
                <w:rFonts w:ascii="宋体" w:hAnsi="宋体" w:cs="宋体"/>
              </w:rPr>
            </w:pPr>
            <w:r>
              <w:rPr>
                <w:rFonts w:hint="eastAsia" w:ascii="宋体" w:hAnsi="宋体" w:cs="宋体"/>
                <w:kern w:val="0"/>
              </w:rPr>
              <w:t>0.1%</w:t>
            </w:r>
          </w:p>
        </w:tc>
        <w:tc>
          <w:tcPr>
            <w:tcW w:w="1729" w:type="dxa"/>
          </w:tcPr>
          <w:p w14:paraId="67A8580A">
            <w:pPr>
              <w:ind w:left="315" w:leftChars="150" w:firstLine="210" w:firstLineChars="100"/>
              <w:rPr>
                <w:rFonts w:ascii="宋体" w:hAnsi="宋体" w:cs="宋体"/>
              </w:rPr>
            </w:pPr>
            <w:r>
              <w:rPr>
                <w:rFonts w:hint="eastAsia" w:ascii="宋体" w:hAnsi="宋体" w:cs="宋体"/>
                <w:kern w:val="0"/>
              </w:rPr>
              <w:t>0.2%</w:t>
            </w:r>
          </w:p>
        </w:tc>
      </w:tr>
      <w:tr w14:paraId="51EE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79CACDAE">
            <w:pPr>
              <w:rPr>
                <w:rFonts w:ascii="宋体" w:hAnsi="宋体" w:cs="宋体"/>
              </w:rPr>
            </w:pPr>
            <w:r>
              <w:rPr>
                <w:rFonts w:hint="eastAsia" w:ascii="宋体" w:hAnsi="宋体" w:cs="宋体"/>
              </w:rPr>
              <w:t>1～5亿元</w:t>
            </w:r>
          </w:p>
        </w:tc>
        <w:tc>
          <w:tcPr>
            <w:tcW w:w="1729" w:type="dxa"/>
          </w:tcPr>
          <w:p w14:paraId="2D7FBD0E">
            <w:pPr>
              <w:ind w:left="315" w:leftChars="150" w:firstLine="210" w:firstLineChars="100"/>
              <w:rPr>
                <w:rFonts w:ascii="宋体" w:hAnsi="宋体" w:cs="宋体"/>
              </w:rPr>
            </w:pPr>
            <w:r>
              <w:rPr>
                <w:rFonts w:hint="eastAsia" w:ascii="宋体" w:hAnsi="宋体" w:cs="宋体"/>
              </w:rPr>
              <w:t>0.05%</w:t>
            </w:r>
          </w:p>
        </w:tc>
        <w:tc>
          <w:tcPr>
            <w:tcW w:w="1758" w:type="dxa"/>
          </w:tcPr>
          <w:p w14:paraId="6881FF1E">
            <w:pPr>
              <w:ind w:left="315" w:leftChars="150"/>
              <w:rPr>
                <w:rFonts w:ascii="宋体" w:hAnsi="宋体" w:cs="宋体"/>
              </w:rPr>
            </w:pPr>
            <w:r>
              <w:rPr>
                <w:rFonts w:hint="eastAsia" w:ascii="宋体" w:hAnsi="宋体" w:cs="宋体"/>
              </w:rPr>
              <w:t xml:space="preserve">  0.05%</w:t>
            </w:r>
          </w:p>
        </w:tc>
        <w:tc>
          <w:tcPr>
            <w:tcW w:w="1729" w:type="dxa"/>
          </w:tcPr>
          <w:p w14:paraId="271CCA1B">
            <w:pPr>
              <w:ind w:left="315" w:leftChars="150"/>
              <w:rPr>
                <w:rFonts w:ascii="宋体" w:hAnsi="宋体" w:cs="宋体"/>
              </w:rPr>
            </w:pPr>
            <w:r>
              <w:rPr>
                <w:rFonts w:hint="eastAsia" w:ascii="宋体" w:hAnsi="宋体" w:cs="宋体"/>
              </w:rPr>
              <w:t xml:space="preserve">  0.05%</w:t>
            </w:r>
          </w:p>
        </w:tc>
      </w:tr>
      <w:tr w14:paraId="0646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2D19A90F">
            <w:pPr>
              <w:rPr>
                <w:rFonts w:ascii="宋体" w:hAnsi="宋体" w:cs="宋体"/>
              </w:rPr>
            </w:pPr>
            <w:r>
              <w:rPr>
                <w:rFonts w:hint="eastAsia" w:ascii="宋体" w:hAnsi="宋体" w:cs="宋体"/>
              </w:rPr>
              <w:t>5～10亿元</w:t>
            </w:r>
          </w:p>
        </w:tc>
        <w:tc>
          <w:tcPr>
            <w:tcW w:w="1729" w:type="dxa"/>
          </w:tcPr>
          <w:p w14:paraId="3E65C2E6">
            <w:pPr>
              <w:ind w:left="315" w:leftChars="150" w:firstLine="105" w:firstLineChars="50"/>
              <w:rPr>
                <w:rFonts w:ascii="宋体" w:hAnsi="宋体" w:cs="宋体"/>
              </w:rPr>
            </w:pPr>
            <w:r>
              <w:rPr>
                <w:rFonts w:hint="eastAsia" w:ascii="宋体" w:hAnsi="宋体" w:cs="宋体"/>
              </w:rPr>
              <w:t>0.035%</w:t>
            </w:r>
          </w:p>
        </w:tc>
        <w:tc>
          <w:tcPr>
            <w:tcW w:w="1758" w:type="dxa"/>
          </w:tcPr>
          <w:p w14:paraId="789D018F">
            <w:pPr>
              <w:ind w:left="315" w:leftChars="150"/>
              <w:rPr>
                <w:rFonts w:ascii="宋体" w:hAnsi="宋体" w:cs="宋体"/>
              </w:rPr>
            </w:pPr>
            <w:r>
              <w:rPr>
                <w:rFonts w:hint="eastAsia" w:ascii="宋体" w:hAnsi="宋体" w:cs="宋体"/>
              </w:rPr>
              <w:t xml:space="preserve">  0.035%</w:t>
            </w:r>
          </w:p>
        </w:tc>
        <w:tc>
          <w:tcPr>
            <w:tcW w:w="1729" w:type="dxa"/>
          </w:tcPr>
          <w:p w14:paraId="5977CCB2">
            <w:pPr>
              <w:ind w:left="315" w:leftChars="150" w:firstLine="105" w:firstLineChars="50"/>
              <w:rPr>
                <w:rFonts w:ascii="宋体" w:hAnsi="宋体" w:cs="宋体"/>
              </w:rPr>
            </w:pPr>
            <w:r>
              <w:rPr>
                <w:rFonts w:hint="eastAsia" w:ascii="宋体" w:hAnsi="宋体" w:cs="宋体"/>
              </w:rPr>
              <w:t>0.035%</w:t>
            </w:r>
          </w:p>
        </w:tc>
      </w:tr>
      <w:tr w14:paraId="6A443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3C37CAB3">
            <w:pPr>
              <w:rPr>
                <w:rFonts w:ascii="宋体" w:hAnsi="宋体" w:cs="宋体"/>
              </w:rPr>
            </w:pPr>
            <w:r>
              <w:rPr>
                <w:rFonts w:hint="eastAsia" w:ascii="宋体" w:hAnsi="宋体" w:cs="宋体"/>
              </w:rPr>
              <w:t>10～50亿元</w:t>
            </w:r>
          </w:p>
        </w:tc>
        <w:tc>
          <w:tcPr>
            <w:tcW w:w="1729" w:type="dxa"/>
          </w:tcPr>
          <w:p w14:paraId="1DE7E588">
            <w:pPr>
              <w:ind w:left="315" w:leftChars="150" w:firstLine="105" w:firstLineChars="50"/>
              <w:rPr>
                <w:rFonts w:ascii="宋体" w:hAnsi="宋体" w:cs="宋体"/>
              </w:rPr>
            </w:pPr>
            <w:r>
              <w:rPr>
                <w:rFonts w:hint="eastAsia" w:ascii="宋体" w:hAnsi="宋体" w:cs="宋体"/>
              </w:rPr>
              <w:t>0.008%</w:t>
            </w:r>
          </w:p>
        </w:tc>
        <w:tc>
          <w:tcPr>
            <w:tcW w:w="1758" w:type="dxa"/>
          </w:tcPr>
          <w:p w14:paraId="195F6DB1">
            <w:pPr>
              <w:ind w:left="315" w:leftChars="150" w:firstLine="210" w:firstLineChars="100"/>
              <w:rPr>
                <w:rFonts w:ascii="宋体" w:hAnsi="宋体" w:cs="宋体"/>
              </w:rPr>
            </w:pPr>
            <w:r>
              <w:rPr>
                <w:rFonts w:hint="eastAsia" w:ascii="宋体" w:hAnsi="宋体" w:cs="宋体"/>
              </w:rPr>
              <w:t>0.008%</w:t>
            </w:r>
          </w:p>
        </w:tc>
        <w:tc>
          <w:tcPr>
            <w:tcW w:w="1729" w:type="dxa"/>
          </w:tcPr>
          <w:p w14:paraId="5EBF4C19">
            <w:pPr>
              <w:ind w:left="315" w:leftChars="150" w:firstLine="105" w:firstLineChars="50"/>
              <w:rPr>
                <w:rFonts w:ascii="宋体" w:hAnsi="宋体" w:cs="宋体"/>
              </w:rPr>
            </w:pPr>
            <w:r>
              <w:rPr>
                <w:rFonts w:hint="eastAsia" w:ascii="宋体" w:hAnsi="宋体" w:cs="宋体"/>
              </w:rPr>
              <w:t>0.008%</w:t>
            </w:r>
          </w:p>
        </w:tc>
      </w:tr>
      <w:tr w14:paraId="759F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4C6593E6">
            <w:pPr>
              <w:rPr>
                <w:rFonts w:ascii="宋体" w:hAnsi="宋体" w:cs="宋体"/>
              </w:rPr>
            </w:pPr>
            <w:r>
              <w:rPr>
                <w:rFonts w:hint="eastAsia" w:ascii="宋体" w:hAnsi="宋体" w:cs="宋体"/>
              </w:rPr>
              <w:t>50～100亿元</w:t>
            </w:r>
          </w:p>
        </w:tc>
        <w:tc>
          <w:tcPr>
            <w:tcW w:w="1729" w:type="dxa"/>
          </w:tcPr>
          <w:p w14:paraId="544C7E4D">
            <w:pPr>
              <w:ind w:left="315" w:leftChars="150"/>
              <w:rPr>
                <w:rFonts w:ascii="宋体" w:hAnsi="宋体" w:cs="宋体"/>
              </w:rPr>
            </w:pPr>
            <w:r>
              <w:rPr>
                <w:rFonts w:hint="eastAsia" w:ascii="宋体" w:hAnsi="宋体" w:cs="宋体"/>
              </w:rPr>
              <w:t xml:space="preserve"> 0.006%</w:t>
            </w:r>
          </w:p>
        </w:tc>
        <w:tc>
          <w:tcPr>
            <w:tcW w:w="1758" w:type="dxa"/>
          </w:tcPr>
          <w:p w14:paraId="49CDF9E4">
            <w:pPr>
              <w:ind w:left="315" w:leftChars="150" w:firstLine="210" w:firstLineChars="100"/>
              <w:rPr>
                <w:rFonts w:ascii="宋体" w:hAnsi="宋体" w:cs="宋体"/>
              </w:rPr>
            </w:pPr>
            <w:r>
              <w:rPr>
                <w:rFonts w:hint="eastAsia" w:ascii="宋体" w:hAnsi="宋体" w:cs="宋体"/>
              </w:rPr>
              <w:t>0.006%</w:t>
            </w:r>
          </w:p>
        </w:tc>
        <w:tc>
          <w:tcPr>
            <w:tcW w:w="1729" w:type="dxa"/>
          </w:tcPr>
          <w:p w14:paraId="785E6AEF">
            <w:pPr>
              <w:ind w:left="315" w:leftChars="150" w:firstLine="105" w:firstLineChars="50"/>
              <w:rPr>
                <w:rFonts w:ascii="宋体" w:hAnsi="宋体" w:cs="宋体"/>
              </w:rPr>
            </w:pPr>
            <w:r>
              <w:rPr>
                <w:rFonts w:hint="eastAsia" w:ascii="宋体" w:hAnsi="宋体" w:cs="宋体"/>
              </w:rPr>
              <w:t>0.006%</w:t>
            </w:r>
          </w:p>
        </w:tc>
      </w:tr>
      <w:tr w14:paraId="47779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18" w:type="dxa"/>
          </w:tcPr>
          <w:p w14:paraId="7EBAEEA1">
            <w:pPr>
              <w:rPr>
                <w:rFonts w:ascii="宋体" w:hAnsi="宋体" w:cs="宋体"/>
              </w:rPr>
            </w:pPr>
            <w:r>
              <w:rPr>
                <w:rFonts w:hint="eastAsia" w:ascii="宋体" w:hAnsi="宋体" w:cs="宋体"/>
              </w:rPr>
              <w:t>100亿以上</w:t>
            </w:r>
          </w:p>
        </w:tc>
        <w:tc>
          <w:tcPr>
            <w:tcW w:w="1729" w:type="dxa"/>
          </w:tcPr>
          <w:p w14:paraId="3BBB76F5">
            <w:pPr>
              <w:ind w:left="315" w:leftChars="150"/>
              <w:rPr>
                <w:rFonts w:ascii="宋体" w:hAnsi="宋体" w:cs="宋体"/>
              </w:rPr>
            </w:pPr>
            <w:r>
              <w:rPr>
                <w:rFonts w:hint="eastAsia" w:ascii="宋体" w:hAnsi="宋体" w:cs="宋体"/>
              </w:rPr>
              <w:t xml:space="preserve"> 0.004%</w:t>
            </w:r>
          </w:p>
        </w:tc>
        <w:tc>
          <w:tcPr>
            <w:tcW w:w="1758" w:type="dxa"/>
          </w:tcPr>
          <w:p w14:paraId="290EA578">
            <w:pPr>
              <w:ind w:left="315" w:leftChars="150" w:firstLine="210" w:firstLineChars="100"/>
              <w:rPr>
                <w:rFonts w:ascii="宋体" w:hAnsi="宋体" w:cs="宋体"/>
              </w:rPr>
            </w:pPr>
            <w:r>
              <w:rPr>
                <w:rFonts w:hint="eastAsia" w:ascii="宋体" w:hAnsi="宋体" w:cs="宋体"/>
              </w:rPr>
              <w:t>0.004%</w:t>
            </w:r>
          </w:p>
        </w:tc>
        <w:tc>
          <w:tcPr>
            <w:tcW w:w="1729" w:type="dxa"/>
          </w:tcPr>
          <w:p w14:paraId="2B2BDD07">
            <w:pPr>
              <w:ind w:left="315" w:leftChars="150" w:firstLine="105" w:firstLineChars="50"/>
              <w:rPr>
                <w:rFonts w:ascii="宋体" w:hAnsi="宋体" w:cs="宋体"/>
              </w:rPr>
            </w:pPr>
            <w:r>
              <w:rPr>
                <w:rFonts w:hint="eastAsia" w:ascii="宋体" w:hAnsi="宋体" w:cs="宋体"/>
              </w:rPr>
              <w:t>0.004%</w:t>
            </w:r>
          </w:p>
        </w:tc>
      </w:tr>
    </w:tbl>
    <w:p w14:paraId="7663DDD6">
      <w:pPr>
        <w:widowControl/>
        <w:spacing w:line="360" w:lineRule="auto"/>
        <w:ind w:firstLine="420" w:firstLineChars="200"/>
        <w:jc w:val="left"/>
        <w:rPr>
          <w:rFonts w:ascii="宋体" w:hAnsi="宋体" w:cs="宋体"/>
        </w:rPr>
      </w:pPr>
      <w:r>
        <w:rPr>
          <w:rFonts w:hint="eastAsia" w:ascii="宋体" w:hAnsi="宋体" w:cs="宋体"/>
        </w:rPr>
        <w:t>注：</w:t>
      </w:r>
    </w:p>
    <w:p w14:paraId="7A7A66C9">
      <w:pPr>
        <w:widowControl/>
        <w:spacing w:line="360" w:lineRule="auto"/>
        <w:ind w:firstLine="420" w:firstLineChars="200"/>
        <w:jc w:val="left"/>
        <w:rPr>
          <w:rFonts w:ascii="宋体" w:hAnsi="宋体" w:cs="宋体"/>
        </w:rPr>
      </w:pPr>
      <w:r>
        <w:rPr>
          <w:rFonts w:hint="eastAsia" w:ascii="宋体" w:hAnsi="宋体" w:cs="宋体"/>
        </w:rPr>
        <w:t>（1）按本表费率计算的收费为采购代理的收费基准价格；</w:t>
      </w:r>
    </w:p>
    <w:p w14:paraId="68B63BD8">
      <w:pPr>
        <w:widowControl/>
        <w:spacing w:line="360" w:lineRule="auto"/>
        <w:ind w:firstLine="420" w:firstLineChars="200"/>
        <w:jc w:val="left"/>
        <w:rPr>
          <w:rFonts w:ascii="宋体" w:hAnsi="宋体" w:cs="宋体"/>
        </w:rPr>
      </w:pPr>
      <w:r>
        <w:rPr>
          <w:rFonts w:hint="eastAsia" w:ascii="宋体" w:hAnsi="宋体" w:cs="宋体"/>
        </w:rPr>
        <w:t>（2）采购代理收费按差额定率累进法计算。</w:t>
      </w:r>
    </w:p>
    <w:p w14:paraId="67A057D3">
      <w:pPr>
        <w:widowControl/>
        <w:spacing w:line="360" w:lineRule="auto"/>
        <w:ind w:firstLine="420" w:firstLineChars="200"/>
        <w:jc w:val="left"/>
        <w:rPr>
          <w:rFonts w:ascii="宋体" w:hAnsi="宋体" w:cs="宋体"/>
        </w:rPr>
      </w:pPr>
      <w:r>
        <w:rPr>
          <w:rFonts w:hint="eastAsia" w:ascii="宋体" w:hAnsi="宋体" w:cs="宋体"/>
        </w:rPr>
        <w:t>例如：某服务采购代理业务成交金额或者暂定价为150万元，计算采购代理收费额如下：</w:t>
      </w:r>
    </w:p>
    <w:p w14:paraId="3E3B6304">
      <w:pPr>
        <w:widowControl/>
        <w:spacing w:line="360" w:lineRule="auto"/>
        <w:ind w:firstLine="420" w:firstLineChars="200"/>
        <w:jc w:val="left"/>
        <w:rPr>
          <w:rFonts w:ascii="宋体" w:hAnsi="宋体" w:cs="宋体"/>
        </w:rPr>
      </w:pPr>
      <w:r>
        <w:rPr>
          <w:rFonts w:hint="eastAsia" w:ascii="宋体" w:hAnsi="宋体" w:cs="宋体"/>
        </w:rPr>
        <w:t>100 万元 ×l.5 %＝ 1.5 万元</w:t>
      </w:r>
    </w:p>
    <w:p w14:paraId="41EC81C3">
      <w:pPr>
        <w:widowControl/>
        <w:spacing w:line="360" w:lineRule="auto"/>
        <w:ind w:firstLine="420" w:firstLineChars="200"/>
        <w:jc w:val="left"/>
        <w:rPr>
          <w:rFonts w:ascii="宋体" w:hAnsi="宋体" w:cs="宋体"/>
        </w:rPr>
      </w:pPr>
      <w:r>
        <w:rPr>
          <w:rFonts w:hint="eastAsia" w:ascii="宋体" w:hAnsi="宋体" w:cs="宋体"/>
        </w:rPr>
        <w:t>（ 150 － 100 ）万元 ×0.8%＝ 0.4万元</w:t>
      </w:r>
    </w:p>
    <w:p w14:paraId="2D12E299">
      <w:pPr>
        <w:widowControl/>
        <w:spacing w:line="360" w:lineRule="auto"/>
        <w:ind w:firstLine="420" w:firstLineChars="200"/>
        <w:jc w:val="left"/>
        <w:rPr>
          <w:rFonts w:hAnsi="宋体" w:cs="宋体"/>
          <w:bCs/>
        </w:rPr>
      </w:pPr>
      <w:r>
        <w:rPr>
          <w:rFonts w:hint="eastAsia" w:ascii="宋体" w:hAnsi="宋体" w:cs="宋体"/>
        </w:rPr>
        <w:t>合计收费＝ 1.5 ＋ 0.4＝ 1.9 万元</w:t>
      </w:r>
      <w:r>
        <w:rPr>
          <w:rFonts w:hint="eastAsia" w:hAnsi="宋体" w:cs="宋体"/>
          <w:bCs/>
        </w:rPr>
        <w:t>。</w:t>
      </w:r>
    </w:p>
    <w:p w14:paraId="6CDE74BB">
      <w:pPr>
        <w:spacing w:line="440" w:lineRule="exact"/>
        <w:rPr>
          <w:rFonts w:ascii="宋体" w:hAnsi="宋体" w:cs="宋体"/>
          <w:kern w:val="0"/>
          <w:szCs w:val="21"/>
        </w:rPr>
        <w:sectPr>
          <w:headerReference r:id="rId12" w:type="default"/>
          <w:footerReference r:id="rId13" w:type="default"/>
          <w:footerReference r:id="rId14" w:type="even"/>
          <w:pgSz w:w="11906" w:h="16838"/>
          <w:pgMar w:top="1440" w:right="1434" w:bottom="1440" w:left="1434" w:header="851" w:footer="992" w:gutter="0"/>
          <w:cols w:space="720" w:num="1"/>
          <w:titlePg/>
          <w:docGrid w:type="lines" w:linePitch="312" w:charSpace="0"/>
        </w:sectPr>
      </w:pPr>
    </w:p>
    <w:p w14:paraId="22AC99B5">
      <w:pPr>
        <w:pStyle w:val="22"/>
        <w:ind w:left="560" w:leftChars="114" w:right="63" w:hanging="321" w:hangingChars="100"/>
        <w:outlineLvl w:val="0"/>
        <w:rPr>
          <w:rFonts w:ascii="宋体" w:hAnsi="宋体" w:cs="宋体"/>
          <w:sz w:val="32"/>
          <w:szCs w:val="32"/>
        </w:rPr>
      </w:pPr>
      <w:bookmarkStart w:id="22" w:name="_Toc13552"/>
      <w:bookmarkStart w:id="23" w:name="_Toc6955"/>
      <w:bookmarkStart w:id="24" w:name="_Toc1939"/>
      <w:r>
        <w:rPr>
          <w:rStyle w:val="187"/>
          <w:rFonts w:hint="eastAsia" w:ascii="宋体" w:hAnsi="宋体" w:cs="宋体"/>
          <w:sz w:val="32"/>
          <w:szCs w:val="32"/>
        </w:rPr>
        <w:t>第三章 项目采购需求</w:t>
      </w:r>
      <w:bookmarkEnd w:id="22"/>
      <w:bookmarkEnd w:id="23"/>
      <w:bookmarkEnd w:id="24"/>
    </w:p>
    <w:p w14:paraId="64ACA603">
      <w:pPr>
        <w:jc w:val="left"/>
        <w:rPr>
          <w:rFonts w:ascii="宋体" w:hAnsi="宋体" w:cs="宋体"/>
          <w:szCs w:val="21"/>
        </w:rPr>
      </w:pPr>
      <w:r>
        <w:rPr>
          <w:rFonts w:hint="eastAsia" w:ascii="宋体" w:hAnsi="宋体" w:cs="宋体"/>
          <w:b/>
          <w:szCs w:val="21"/>
        </w:rPr>
        <w:t>说明：</w:t>
      </w:r>
      <w:bookmarkStart w:id="25" w:name="_Toc254970490"/>
      <w:bookmarkStart w:id="26" w:name="_Toc254970631"/>
    </w:p>
    <w:p w14:paraId="5FDFA243">
      <w:pPr>
        <w:pStyle w:val="20"/>
        <w:spacing w:line="380" w:lineRule="exact"/>
        <w:ind w:firstLine="420" w:firstLineChars="200"/>
        <w:rPr>
          <w:rFonts w:ascii="宋体" w:hAnsi="宋体" w:cs="宋体"/>
          <w:bCs/>
          <w:szCs w:val="21"/>
        </w:rPr>
      </w:pPr>
      <w:r>
        <w:rPr>
          <w:rFonts w:hint="eastAsia" w:ascii="宋体" w:hAnsi="宋体" w:cs="宋体"/>
          <w:bCs/>
          <w:szCs w:val="21"/>
        </w:rPr>
        <w:t>1. 为落实政府采购政策需满足的要求</w:t>
      </w:r>
    </w:p>
    <w:p w14:paraId="2B40BD97">
      <w:pPr>
        <w:pStyle w:val="20"/>
        <w:spacing w:line="380" w:lineRule="exact"/>
        <w:ind w:firstLine="420" w:firstLineChars="200"/>
        <w:rPr>
          <w:rFonts w:ascii="宋体" w:hAnsi="宋体" w:cs="宋体"/>
          <w:bCs/>
          <w:szCs w:val="21"/>
        </w:rPr>
      </w:pPr>
      <w:r>
        <w:rPr>
          <w:rFonts w:hint="eastAsia" w:ascii="宋体" w:hAnsi="宋体" w:cs="宋体"/>
          <w:bCs/>
          <w:szCs w:val="21"/>
        </w:rPr>
        <w:t>（1）本采购文件所称中小企业必须符合《政府采购促进中小企业发展管理办法》（财库〔2020〕46号）的规定。</w:t>
      </w:r>
    </w:p>
    <w:p w14:paraId="709D2A0D">
      <w:pPr>
        <w:pStyle w:val="20"/>
        <w:spacing w:line="380" w:lineRule="exact"/>
        <w:ind w:firstLine="420" w:firstLineChars="200"/>
        <w:rPr>
          <w:rFonts w:ascii="宋体" w:hAnsi="宋体" w:cs="宋体"/>
          <w:bCs/>
          <w:szCs w:val="21"/>
        </w:rPr>
      </w:pPr>
      <w:r>
        <w:rPr>
          <w:rFonts w:hint="eastAsia" w:ascii="宋体" w:hAnsi="宋体" w:cs="宋体"/>
          <w:bCs/>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的投标货物必须使用政府强制采购的节能产品，供应商必须在响应文件中提供所投标产品的节能产品认证证书复印件（加盖供应商公章），否则响应文件作无效处理。如本项目包含的货物属于品目清单内非标注“★”的产品时，应优先采购。</w:t>
      </w:r>
    </w:p>
    <w:p w14:paraId="2647FB3A">
      <w:pPr>
        <w:pStyle w:val="20"/>
        <w:spacing w:line="380" w:lineRule="exact"/>
        <w:ind w:firstLine="420" w:firstLineChars="200"/>
        <w:rPr>
          <w:rFonts w:ascii="宋体" w:hAnsi="宋体" w:cs="宋体"/>
          <w:bCs/>
          <w:szCs w:val="21"/>
        </w:rPr>
      </w:pPr>
      <w:r>
        <w:rPr>
          <w:rFonts w:hint="eastAsia" w:ascii="宋体" w:hAnsi="宋体" w:cs="宋体"/>
          <w:bCs/>
          <w:szCs w:val="21"/>
        </w:rPr>
        <w:t>（3）服务项目中伴随货物的，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竞标处理。如属于《网络关键设备和网络安全专用产品目录》中“二、网络安全专用产品”内“产品类别”中的所描述的产品，但不属于所列“产品描述”情形的，应提供相应的说明及证明材料。</w:t>
      </w:r>
    </w:p>
    <w:p w14:paraId="2F6330B5">
      <w:pPr>
        <w:pStyle w:val="20"/>
        <w:spacing w:line="380" w:lineRule="exact"/>
        <w:ind w:firstLine="422" w:firstLineChars="200"/>
        <w:rPr>
          <w:rFonts w:ascii="宋体" w:hAnsi="宋体" w:cs="宋体"/>
          <w:b/>
          <w:szCs w:val="21"/>
        </w:rPr>
      </w:pPr>
      <w:r>
        <w:rPr>
          <w:rFonts w:hint="eastAsia" w:ascii="宋体" w:hAnsi="宋体" w:cs="宋体"/>
          <w:b/>
          <w:szCs w:val="21"/>
        </w:rPr>
        <w:t>2.</w:t>
      </w:r>
      <w:r>
        <w:rPr>
          <w:b/>
          <w:szCs w:val="21"/>
        </w:rPr>
        <w:t>采购文件中带</w:t>
      </w:r>
      <w:r>
        <w:rPr>
          <w:rFonts w:hint="eastAsia"/>
          <w:b/>
          <w:szCs w:val="21"/>
        </w:rPr>
        <w:t>“</w:t>
      </w:r>
      <w:r>
        <w:rPr>
          <w:rFonts w:hint="eastAsia" w:ascii="宋体" w:hAnsi="宋体" w:cs="宋体"/>
          <w:b/>
          <w:szCs w:val="21"/>
        </w:rPr>
        <w:t>▲</w:t>
      </w:r>
      <w:r>
        <w:rPr>
          <w:rFonts w:hint="eastAsia"/>
          <w:b/>
          <w:szCs w:val="21"/>
        </w:rPr>
        <w:t>”</w:t>
      </w:r>
      <w:r>
        <w:rPr>
          <w:b/>
          <w:szCs w:val="21"/>
        </w:rPr>
        <w:t>的条款为本次采购的实质性的商务、技术或服务要求，磋商供应商须满足或响应，若无法完全满足，将会被认定为无效响应。非</w:t>
      </w:r>
      <w:r>
        <w:rPr>
          <w:rFonts w:hint="eastAsia"/>
          <w:b/>
          <w:szCs w:val="21"/>
        </w:rPr>
        <w:t>“</w:t>
      </w:r>
      <w:r>
        <w:rPr>
          <w:rFonts w:hint="eastAsia" w:ascii="宋体" w:hAnsi="宋体" w:cs="宋体"/>
          <w:b/>
          <w:szCs w:val="21"/>
        </w:rPr>
        <w:t>▲</w:t>
      </w:r>
      <w:r>
        <w:rPr>
          <w:rFonts w:hint="eastAsia"/>
          <w:b/>
          <w:szCs w:val="21"/>
        </w:rPr>
        <w:t>”</w:t>
      </w:r>
      <w:r>
        <w:rPr>
          <w:b/>
          <w:szCs w:val="21"/>
        </w:rPr>
        <w:t>号要求或技术指标发生负偏离或不响应达</w:t>
      </w:r>
      <w:r>
        <w:rPr>
          <w:rFonts w:hint="eastAsia"/>
          <w:b/>
          <w:szCs w:val="21"/>
        </w:rPr>
        <w:t>3</w:t>
      </w:r>
      <w:r>
        <w:rPr>
          <w:b/>
          <w:szCs w:val="21"/>
        </w:rPr>
        <w:t>项（含）以上的</w:t>
      </w:r>
      <w:r>
        <w:rPr>
          <w:rFonts w:hint="eastAsia"/>
          <w:b/>
          <w:szCs w:val="21"/>
        </w:rPr>
        <w:t>响应</w:t>
      </w:r>
      <w:r>
        <w:rPr>
          <w:b/>
          <w:szCs w:val="21"/>
        </w:rPr>
        <w:t>无效</w:t>
      </w:r>
      <w:r>
        <w:rPr>
          <w:rFonts w:hint="eastAsia" w:ascii="宋体" w:hAnsi="宋体" w:cs="宋体"/>
          <w:b/>
          <w:szCs w:val="21"/>
        </w:rPr>
        <w:t>。</w:t>
      </w:r>
    </w:p>
    <w:p w14:paraId="7E66EFB1">
      <w:pPr>
        <w:pStyle w:val="20"/>
        <w:spacing w:line="380" w:lineRule="exact"/>
        <w:ind w:firstLine="420" w:firstLineChars="200"/>
        <w:rPr>
          <w:rFonts w:ascii="宋体" w:hAnsi="宋体" w:cs="宋体"/>
          <w:bCs/>
          <w:szCs w:val="21"/>
        </w:rPr>
      </w:pPr>
      <w:r>
        <w:rPr>
          <w:rFonts w:hint="eastAsia" w:ascii="宋体" w:hAnsi="宋体" w:cs="宋体"/>
          <w:bCs/>
          <w:szCs w:val="21"/>
        </w:rPr>
        <w:t>4.如供应商竞标产品存在侵犯他人的知识产权或者专利成果行为的，应承担相应法律责任。</w:t>
      </w:r>
    </w:p>
    <w:p w14:paraId="2BF12C8A">
      <w:pPr>
        <w:pStyle w:val="20"/>
        <w:spacing w:line="380" w:lineRule="exact"/>
        <w:ind w:firstLine="422" w:firstLineChars="200"/>
        <w:rPr>
          <w:rFonts w:ascii="宋体" w:hAnsi="宋体" w:cs="宋体"/>
          <w:b/>
          <w:szCs w:val="21"/>
        </w:rPr>
      </w:pPr>
      <w:r>
        <w:rPr>
          <w:rFonts w:hint="eastAsia" w:ascii="宋体" w:hAnsi="宋体" w:cs="宋体"/>
          <w:b/>
          <w:szCs w:val="21"/>
        </w:rPr>
        <w:t>5.供应商报价超过采购预算价的竞标无效。</w:t>
      </w:r>
    </w:p>
    <w:bookmarkEnd w:id="25"/>
    <w:bookmarkEnd w:id="26"/>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88"/>
        <w:gridCol w:w="728"/>
        <w:gridCol w:w="937"/>
        <w:gridCol w:w="5750"/>
      </w:tblGrid>
      <w:tr w14:paraId="7EED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26" w:type="dxa"/>
            <w:vAlign w:val="center"/>
          </w:tcPr>
          <w:p w14:paraId="610F2F9F">
            <w:pPr>
              <w:tabs>
                <w:tab w:val="left" w:pos="180"/>
                <w:tab w:val="left" w:pos="1620"/>
              </w:tabs>
              <w:spacing w:line="360" w:lineRule="exact"/>
              <w:jc w:val="center"/>
              <w:rPr>
                <w:rFonts w:ascii="宋体" w:hAnsi="宋体" w:cs="宋体"/>
                <w:szCs w:val="21"/>
              </w:rPr>
            </w:pPr>
            <w:r>
              <w:rPr>
                <w:rFonts w:hint="eastAsia" w:ascii="宋体" w:hAnsi="宋体" w:cs="宋体"/>
                <w:szCs w:val="21"/>
              </w:rPr>
              <w:t>序号</w:t>
            </w:r>
          </w:p>
        </w:tc>
        <w:tc>
          <w:tcPr>
            <w:tcW w:w="988" w:type="dxa"/>
            <w:vAlign w:val="center"/>
          </w:tcPr>
          <w:p w14:paraId="2AC4098C">
            <w:pPr>
              <w:tabs>
                <w:tab w:val="left" w:pos="180"/>
                <w:tab w:val="left" w:pos="1620"/>
              </w:tabs>
              <w:spacing w:line="360" w:lineRule="exact"/>
              <w:jc w:val="center"/>
              <w:rPr>
                <w:rFonts w:ascii="宋体" w:hAnsi="宋体" w:cs="宋体"/>
                <w:szCs w:val="21"/>
              </w:rPr>
            </w:pPr>
            <w:r>
              <w:rPr>
                <w:rFonts w:hint="eastAsia" w:ascii="宋体" w:hAnsi="宋体" w:cs="宋体"/>
                <w:szCs w:val="21"/>
              </w:rPr>
              <w:t>标的名称</w:t>
            </w:r>
          </w:p>
        </w:tc>
        <w:tc>
          <w:tcPr>
            <w:tcW w:w="728" w:type="dxa"/>
            <w:vAlign w:val="center"/>
          </w:tcPr>
          <w:p w14:paraId="4400741B">
            <w:pPr>
              <w:tabs>
                <w:tab w:val="left" w:pos="180"/>
                <w:tab w:val="left" w:pos="1620"/>
              </w:tabs>
              <w:spacing w:line="360" w:lineRule="exact"/>
              <w:jc w:val="center"/>
              <w:rPr>
                <w:rFonts w:ascii="宋体" w:hAnsi="宋体" w:cs="宋体"/>
                <w:szCs w:val="21"/>
              </w:rPr>
            </w:pPr>
            <w:r>
              <w:rPr>
                <w:rFonts w:hint="eastAsia" w:ascii="宋体" w:hAnsi="宋体" w:cs="宋体"/>
                <w:szCs w:val="21"/>
              </w:rPr>
              <w:t>数量及单位</w:t>
            </w:r>
          </w:p>
        </w:tc>
        <w:tc>
          <w:tcPr>
            <w:tcW w:w="937" w:type="dxa"/>
            <w:vAlign w:val="center"/>
          </w:tcPr>
          <w:p w14:paraId="65E6A640">
            <w:pPr>
              <w:tabs>
                <w:tab w:val="left" w:pos="180"/>
                <w:tab w:val="left" w:pos="1620"/>
              </w:tabs>
              <w:spacing w:line="360" w:lineRule="exact"/>
              <w:jc w:val="center"/>
              <w:rPr>
                <w:rFonts w:ascii="宋体" w:hAnsi="宋体" w:cs="Arial"/>
                <w:szCs w:val="21"/>
              </w:rPr>
            </w:pPr>
            <w:r>
              <w:rPr>
                <w:rFonts w:hint="eastAsia" w:ascii="宋体" w:hAnsi="宋体" w:cs="Arial"/>
                <w:szCs w:val="21"/>
              </w:rPr>
              <w:t>所属行业</w:t>
            </w:r>
          </w:p>
        </w:tc>
        <w:tc>
          <w:tcPr>
            <w:tcW w:w="5750" w:type="dxa"/>
            <w:vAlign w:val="center"/>
          </w:tcPr>
          <w:p w14:paraId="7B203E5E">
            <w:pPr>
              <w:tabs>
                <w:tab w:val="left" w:pos="180"/>
                <w:tab w:val="left" w:pos="1620"/>
              </w:tabs>
              <w:spacing w:line="360" w:lineRule="exact"/>
              <w:jc w:val="center"/>
              <w:rPr>
                <w:rFonts w:ascii="宋体" w:hAnsi="宋体" w:cs="宋体"/>
                <w:szCs w:val="21"/>
              </w:rPr>
            </w:pPr>
            <w:r>
              <w:rPr>
                <w:rFonts w:hint="eastAsia" w:ascii="宋体" w:hAnsi="宋体" w:cs="宋体"/>
                <w:szCs w:val="21"/>
              </w:rPr>
              <w:t>技术要求</w:t>
            </w:r>
          </w:p>
        </w:tc>
      </w:tr>
      <w:tr w14:paraId="7FC4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5898F82D">
            <w:pPr>
              <w:tabs>
                <w:tab w:val="left" w:pos="180"/>
                <w:tab w:val="left" w:pos="1620"/>
              </w:tabs>
              <w:spacing w:line="360" w:lineRule="exact"/>
              <w:jc w:val="center"/>
              <w:rPr>
                <w:rFonts w:ascii="宋体" w:hAnsi="宋体" w:cs="宋体"/>
                <w:szCs w:val="21"/>
              </w:rPr>
            </w:pPr>
            <w:r>
              <w:rPr>
                <w:rFonts w:hint="eastAsia" w:ascii="宋体" w:hAnsi="宋体" w:cs="宋体"/>
                <w:szCs w:val="21"/>
              </w:rPr>
              <w:t>1</w:t>
            </w:r>
          </w:p>
        </w:tc>
        <w:tc>
          <w:tcPr>
            <w:tcW w:w="988" w:type="dxa"/>
            <w:vAlign w:val="center"/>
          </w:tcPr>
          <w:p w14:paraId="4EC5DDE8">
            <w:pPr>
              <w:widowControl/>
              <w:spacing w:line="360" w:lineRule="exact"/>
              <w:jc w:val="center"/>
              <w:rPr>
                <w:rFonts w:ascii="宋体" w:hAnsi="宋体"/>
                <w:szCs w:val="21"/>
              </w:rPr>
            </w:pPr>
            <w:r>
              <w:rPr>
                <w:rFonts w:hint="eastAsia" w:ascii="宋体" w:hAnsi="宋体"/>
                <w:szCs w:val="21"/>
              </w:rPr>
              <w:t>南宁师范大学武鸣五合校园共享单车服务采购项目</w:t>
            </w:r>
          </w:p>
        </w:tc>
        <w:tc>
          <w:tcPr>
            <w:tcW w:w="728" w:type="dxa"/>
            <w:vAlign w:val="center"/>
          </w:tcPr>
          <w:p w14:paraId="35815853">
            <w:pPr>
              <w:widowControl/>
              <w:spacing w:line="360" w:lineRule="exact"/>
              <w:jc w:val="center"/>
              <w:rPr>
                <w:rFonts w:ascii="宋体" w:hAnsi="宋体"/>
                <w:szCs w:val="21"/>
              </w:rPr>
            </w:pPr>
            <w:r>
              <w:rPr>
                <w:rFonts w:hint="eastAsia" w:ascii="宋体" w:hAnsi="宋体" w:cs="宋体"/>
                <w:kern w:val="0"/>
                <w:szCs w:val="21"/>
                <w:lang w:bidi="ar"/>
              </w:rPr>
              <w:t>1项</w:t>
            </w:r>
          </w:p>
        </w:tc>
        <w:tc>
          <w:tcPr>
            <w:tcW w:w="937" w:type="dxa"/>
            <w:vAlign w:val="center"/>
          </w:tcPr>
          <w:p w14:paraId="1B423D03">
            <w:pPr>
              <w:tabs>
                <w:tab w:val="left" w:pos="180"/>
                <w:tab w:val="left" w:pos="1620"/>
              </w:tabs>
              <w:spacing w:line="360" w:lineRule="exact"/>
              <w:jc w:val="center"/>
              <w:rPr>
                <w:rFonts w:ascii="宋体" w:hAnsi="宋体" w:cs="宋体"/>
                <w:szCs w:val="21"/>
              </w:rPr>
            </w:pPr>
            <w:r>
              <w:rPr>
                <w:rFonts w:hint="eastAsia" w:ascii="宋体" w:hAnsi="宋体" w:cs="宋体"/>
                <w:szCs w:val="21"/>
              </w:rPr>
              <w:t>其他未列明行业</w:t>
            </w:r>
          </w:p>
        </w:tc>
        <w:tc>
          <w:tcPr>
            <w:tcW w:w="5750" w:type="dxa"/>
            <w:vAlign w:val="center"/>
          </w:tcPr>
          <w:p w14:paraId="04B9803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szCs w:val="21"/>
              </w:rPr>
            </w:pPr>
            <w:r>
              <w:rPr>
                <w:rFonts w:hint="eastAsia" w:ascii="宋体" w:hAnsi="宋体" w:cs="宋体"/>
                <w:b/>
                <w:bCs/>
                <w:szCs w:val="21"/>
              </w:rPr>
              <w:t>一、</w:t>
            </w:r>
            <w:r>
              <w:rPr>
                <w:rFonts w:hint="eastAsia" w:ascii="宋体" w:hAnsi="宋体" w:cs="宋体"/>
                <w:b/>
                <w:bCs/>
                <w:szCs w:val="21"/>
                <w:lang w:val="zh-CN"/>
              </w:rPr>
              <w:t>运营服务期限</w:t>
            </w:r>
            <w:r>
              <w:rPr>
                <w:rFonts w:hint="eastAsia" w:ascii="宋体" w:hAnsi="宋体" w:cs="宋体"/>
                <w:b/>
                <w:bCs/>
                <w:szCs w:val="21"/>
              </w:rPr>
              <w:t>：</w:t>
            </w:r>
            <w:r>
              <w:rPr>
                <w:rFonts w:hint="eastAsia" w:ascii="宋体" w:hAnsi="宋体" w:cs="宋体"/>
                <w:szCs w:val="21"/>
              </w:rPr>
              <w:t>2026</w:t>
            </w:r>
            <w:r>
              <w:rPr>
                <w:rFonts w:hint="eastAsia" w:ascii="宋体" w:hAnsi="宋体" w:cs="宋体"/>
                <w:szCs w:val="21"/>
                <w:lang w:val="zh-CN"/>
              </w:rPr>
              <w:t>年</w:t>
            </w:r>
            <w:r>
              <w:rPr>
                <w:rFonts w:hint="eastAsia" w:ascii="宋体" w:hAnsi="宋体" w:cs="宋体"/>
                <w:szCs w:val="21"/>
              </w:rPr>
              <w:t>1</w:t>
            </w:r>
            <w:r>
              <w:rPr>
                <w:rFonts w:hint="eastAsia" w:ascii="宋体" w:hAnsi="宋体" w:cs="宋体"/>
                <w:szCs w:val="21"/>
                <w:lang w:val="zh-CN"/>
              </w:rPr>
              <w:t>月</w:t>
            </w:r>
            <w:r>
              <w:rPr>
                <w:rFonts w:hint="eastAsia" w:ascii="宋体" w:hAnsi="宋体" w:cs="宋体"/>
                <w:szCs w:val="21"/>
              </w:rPr>
              <w:t>1</w:t>
            </w:r>
            <w:r>
              <w:rPr>
                <w:rFonts w:hint="eastAsia" w:ascii="宋体" w:hAnsi="宋体" w:cs="宋体"/>
                <w:szCs w:val="21"/>
                <w:lang w:val="zh-CN"/>
              </w:rPr>
              <w:t>日至</w:t>
            </w:r>
            <w:r>
              <w:rPr>
                <w:rFonts w:hint="eastAsia" w:ascii="宋体" w:hAnsi="宋体" w:cs="宋体"/>
                <w:szCs w:val="21"/>
              </w:rPr>
              <w:t xml:space="preserve"> 2027</w:t>
            </w:r>
            <w:r>
              <w:rPr>
                <w:rFonts w:hint="eastAsia" w:ascii="宋体" w:hAnsi="宋体" w:cs="宋体"/>
                <w:szCs w:val="21"/>
                <w:lang w:val="zh-CN"/>
              </w:rPr>
              <w:t>年</w:t>
            </w:r>
            <w:r>
              <w:rPr>
                <w:rFonts w:hint="eastAsia" w:ascii="宋体" w:hAnsi="宋体" w:cs="宋体"/>
                <w:szCs w:val="21"/>
              </w:rPr>
              <w:t xml:space="preserve"> 12</w:t>
            </w:r>
            <w:r>
              <w:rPr>
                <w:rFonts w:hint="eastAsia" w:ascii="宋体" w:hAnsi="宋体" w:cs="宋体"/>
                <w:szCs w:val="21"/>
                <w:lang w:val="zh-CN"/>
              </w:rPr>
              <w:t>月</w:t>
            </w:r>
            <w:r>
              <w:rPr>
                <w:rFonts w:hint="eastAsia" w:ascii="宋体" w:hAnsi="宋体" w:cs="宋体"/>
                <w:szCs w:val="21"/>
              </w:rPr>
              <w:t>31</w:t>
            </w:r>
            <w:r>
              <w:rPr>
                <w:rFonts w:hint="eastAsia" w:ascii="宋体" w:hAnsi="宋体" w:cs="宋体"/>
                <w:szCs w:val="21"/>
                <w:lang w:val="zh-CN"/>
              </w:rPr>
              <w:t>日。</w:t>
            </w:r>
          </w:p>
          <w:p w14:paraId="0DFAD7C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szCs w:val="21"/>
                <w:lang w:val="zh-CN"/>
              </w:rPr>
            </w:pPr>
            <w:r>
              <w:rPr>
                <w:rFonts w:hint="eastAsia" w:ascii="宋体" w:hAnsi="宋体" w:cs="宋体"/>
                <w:b/>
                <w:bCs/>
                <w:szCs w:val="21"/>
                <w:lang w:val="zh-CN"/>
              </w:rPr>
              <w:t>二、 运营服务范围：</w:t>
            </w:r>
            <w:r>
              <w:rPr>
                <w:rFonts w:hint="eastAsia" w:ascii="宋体" w:hAnsi="宋体" w:cs="宋体"/>
                <w:szCs w:val="21"/>
                <w:lang w:val="zh-CN"/>
              </w:rPr>
              <w:t>南宁师范大学五合校区、武鸣校区校园内。</w:t>
            </w:r>
          </w:p>
          <w:p w14:paraId="0FB9DA6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szCs w:val="21"/>
                <w:lang w:val="zh-CN"/>
              </w:rPr>
            </w:pPr>
            <w:r>
              <w:rPr>
                <w:rFonts w:hint="eastAsia" w:ascii="宋体" w:hAnsi="宋体" w:cs="宋体"/>
                <w:b/>
                <w:bCs/>
                <w:szCs w:val="21"/>
                <w:lang w:val="zh-CN"/>
              </w:rPr>
              <w:t>三、资质供应商须有运营共享单车的资质。</w:t>
            </w:r>
            <w:r>
              <w:rPr>
                <w:rFonts w:hint="eastAsia" w:ascii="宋体" w:hAnsi="宋体" w:cs="宋体"/>
                <w:szCs w:val="21"/>
                <w:lang w:val="zh-CN"/>
              </w:rPr>
              <w:t>（须提供营业执照）</w:t>
            </w:r>
          </w:p>
          <w:p w14:paraId="597C571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szCs w:val="21"/>
                <w:lang w:val="zh-CN"/>
              </w:rPr>
            </w:pPr>
            <w:r>
              <w:rPr>
                <w:rFonts w:hint="eastAsia" w:ascii="宋体" w:hAnsi="宋体" w:cs="宋体"/>
                <w:b/>
                <w:bCs/>
                <w:szCs w:val="21"/>
                <w:lang w:val="zh-CN"/>
              </w:rPr>
              <w:t>四、车辆投放：</w:t>
            </w:r>
            <w:r>
              <w:rPr>
                <w:rFonts w:hint="eastAsia" w:ascii="宋体" w:hAnsi="宋体" w:cs="宋体"/>
                <w:szCs w:val="21"/>
                <w:lang w:val="zh-CN"/>
              </w:rPr>
              <w:t>供应商在采购人划定的集中投放点投放共享单车，首次投放共享单车武鸣校区3500辆、五合校区200辆，并且保证车辆性能良好正常使用。今后供应商应根据甲方需要向校区增加或减少投放共享单车数量。</w:t>
            </w:r>
          </w:p>
          <w:p w14:paraId="55DC1B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投放时间：2026年1月1日前供应商在采购人的监督下完成车辆投放。</w:t>
            </w:r>
          </w:p>
          <w:p w14:paraId="404E1F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szCs w:val="21"/>
                <w:lang w:val="zh-CN"/>
              </w:rPr>
            </w:pPr>
            <w:r>
              <w:rPr>
                <w:rFonts w:hint="eastAsia" w:ascii="宋体" w:hAnsi="宋体" w:cs="宋体"/>
                <w:b/>
                <w:bCs/>
                <w:szCs w:val="21"/>
                <w:lang w:val="zh-CN"/>
              </w:rPr>
              <w:t>五、保险：</w:t>
            </w:r>
          </w:p>
          <w:p w14:paraId="5FCA2B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供应商应为骑行用户购买骑行意外保险，其单次事故赔付金额不得低于以下最低标准：</w:t>
            </w:r>
          </w:p>
          <w:tbl>
            <w:tblPr>
              <w:tblStyle w:val="55"/>
              <w:tblW w:w="5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50"/>
              <w:gridCol w:w="1563"/>
              <w:gridCol w:w="2079"/>
            </w:tblGrid>
            <w:tr w14:paraId="6D2E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674A8261">
                  <w:pPr>
                    <w:widowControl/>
                    <w:snapToGrid w:val="0"/>
                    <w:jc w:val="center"/>
                    <w:textAlignment w:val="center"/>
                    <w:rPr>
                      <w:rFonts w:ascii="宋体" w:hAnsi="宋体" w:cs="宋体"/>
                      <w:bCs/>
                      <w:szCs w:val="21"/>
                      <w:lang w:val="zh-CN"/>
                    </w:rPr>
                  </w:pPr>
                  <w:r>
                    <w:rPr>
                      <w:rFonts w:hint="eastAsia" w:ascii="宋体" w:hAnsi="宋体" w:cs="宋体"/>
                      <w:bCs/>
                      <w:spacing w:val="-2"/>
                      <w:kern w:val="0"/>
                      <w:szCs w:val="21"/>
                      <w:lang w:bidi="ar"/>
                    </w:rPr>
                    <w:t>保险类型</w:t>
                  </w:r>
                </w:p>
              </w:tc>
              <w:tc>
                <w:tcPr>
                  <w:tcW w:w="1150" w:type="dxa"/>
                  <w:vAlign w:val="center"/>
                </w:tcPr>
                <w:p w14:paraId="7B8E3230">
                  <w:pPr>
                    <w:widowControl/>
                    <w:snapToGrid w:val="0"/>
                    <w:jc w:val="center"/>
                    <w:textAlignment w:val="center"/>
                    <w:rPr>
                      <w:rFonts w:ascii="宋体" w:hAnsi="宋体" w:cs="宋体"/>
                      <w:bCs/>
                      <w:szCs w:val="21"/>
                      <w:lang w:val="zh-CN"/>
                    </w:rPr>
                  </w:pPr>
                  <w:r>
                    <w:rPr>
                      <w:rFonts w:hint="eastAsia" w:ascii="宋体" w:hAnsi="宋体" w:cs="宋体"/>
                      <w:bCs/>
                      <w:spacing w:val="-2"/>
                      <w:kern w:val="0"/>
                      <w:szCs w:val="21"/>
                      <w:lang w:bidi="ar"/>
                    </w:rPr>
                    <w:t>保障内容</w:t>
                  </w:r>
                </w:p>
              </w:tc>
              <w:tc>
                <w:tcPr>
                  <w:tcW w:w="1563" w:type="dxa"/>
                  <w:vAlign w:val="center"/>
                </w:tcPr>
                <w:p w14:paraId="32DCE774">
                  <w:pPr>
                    <w:widowControl/>
                    <w:snapToGrid w:val="0"/>
                    <w:jc w:val="center"/>
                    <w:textAlignment w:val="center"/>
                    <w:rPr>
                      <w:rFonts w:hint="eastAsia" w:ascii="宋体" w:hAnsi="宋体" w:cs="宋体"/>
                      <w:bCs/>
                      <w:spacing w:val="-2"/>
                      <w:kern w:val="0"/>
                      <w:szCs w:val="21"/>
                      <w:lang w:bidi="ar"/>
                    </w:rPr>
                  </w:pPr>
                  <w:r>
                    <w:rPr>
                      <w:rFonts w:hint="eastAsia" w:ascii="宋体" w:hAnsi="宋体" w:cs="宋体"/>
                      <w:bCs/>
                      <w:spacing w:val="-2"/>
                      <w:kern w:val="0"/>
                      <w:szCs w:val="21"/>
                      <w:lang w:bidi="ar"/>
                    </w:rPr>
                    <w:t>最低保险金额</w:t>
                  </w:r>
                </w:p>
                <w:p w14:paraId="769B5792">
                  <w:pPr>
                    <w:widowControl/>
                    <w:snapToGrid w:val="0"/>
                    <w:jc w:val="center"/>
                    <w:textAlignment w:val="center"/>
                    <w:rPr>
                      <w:rFonts w:ascii="宋体" w:hAnsi="宋体" w:cs="宋体"/>
                      <w:bCs/>
                      <w:szCs w:val="21"/>
                      <w:lang w:val="zh-CN"/>
                    </w:rPr>
                  </w:pPr>
                  <w:r>
                    <w:rPr>
                      <w:rFonts w:hint="eastAsia" w:ascii="宋体" w:hAnsi="宋体" w:cs="宋体"/>
                      <w:bCs/>
                      <w:spacing w:val="-2"/>
                      <w:kern w:val="0"/>
                      <w:szCs w:val="21"/>
                      <w:lang w:bidi="ar"/>
                    </w:rPr>
                    <w:t>（人民币）</w:t>
                  </w:r>
                </w:p>
              </w:tc>
              <w:tc>
                <w:tcPr>
                  <w:tcW w:w="2079" w:type="dxa"/>
                  <w:vAlign w:val="center"/>
                </w:tcPr>
                <w:p w14:paraId="181BC7F2">
                  <w:pPr>
                    <w:widowControl/>
                    <w:snapToGrid w:val="0"/>
                    <w:jc w:val="center"/>
                    <w:textAlignment w:val="center"/>
                    <w:rPr>
                      <w:rFonts w:ascii="宋体" w:hAnsi="宋体" w:cs="宋体"/>
                      <w:bCs/>
                      <w:szCs w:val="21"/>
                      <w:lang w:val="zh-CN"/>
                    </w:rPr>
                  </w:pPr>
                  <w:r>
                    <w:rPr>
                      <w:rFonts w:hint="eastAsia" w:ascii="宋体" w:hAnsi="宋体" w:cs="宋体"/>
                      <w:bCs/>
                      <w:spacing w:val="-2"/>
                      <w:kern w:val="0"/>
                      <w:szCs w:val="21"/>
                      <w:lang w:bidi="ar"/>
                    </w:rPr>
                    <w:t>说明</w:t>
                  </w:r>
                </w:p>
              </w:tc>
            </w:tr>
            <w:tr w14:paraId="7392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519D332F">
                  <w:pPr>
                    <w:widowControl/>
                    <w:snapToGrid w:val="0"/>
                    <w:jc w:val="center"/>
                    <w:textAlignment w:val="center"/>
                    <w:rPr>
                      <w:rFonts w:ascii="宋体" w:hAnsi="宋体" w:cs="宋体"/>
                      <w:bCs/>
                      <w:spacing w:val="-2"/>
                      <w:kern w:val="0"/>
                      <w:szCs w:val="21"/>
                      <w:lang w:bidi="ar"/>
                    </w:rPr>
                  </w:pPr>
                  <w:r>
                    <w:rPr>
                      <w:rStyle w:val="57"/>
                      <w:rFonts w:hint="eastAsia" w:ascii="宋体" w:hAnsi="宋体" w:cs="宋体"/>
                      <w:b w:val="0"/>
                      <w:spacing w:val="-2"/>
                      <w:kern w:val="0"/>
                      <w:sz w:val="21"/>
                      <w:szCs w:val="21"/>
                      <w:lang w:bidi="ar"/>
                    </w:rPr>
                    <w:t>人身意外伤害  险​</w:t>
                  </w:r>
                  <w:r>
                    <w:rPr>
                      <w:rFonts w:hint="eastAsia" w:ascii="宋体" w:hAnsi="宋体" w:cs="宋体"/>
                      <w:bCs/>
                      <w:spacing w:val="-2"/>
                      <w:kern w:val="0"/>
                      <w:szCs w:val="21"/>
                      <w:lang w:bidi="ar"/>
                    </w:rPr>
                    <w:t>​</w:t>
                  </w:r>
                </w:p>
              </w:tc>
              <w:tc>
                <w:tcPr>
                  <w:tcW w:w="1150" w:type="dxa"/>
                  <w:vAlign w:val="center"/>
                </w:tcPr>
                <w:p w14:paraId="193C73F6">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意外身故/伤残保障</w:t>
                  </w:r>
                </w:p>
              </w:tc>
              <w:tc>
                <w:tcPr>
                  <w:tcW w:w="1563" w:type="dxa"/>
                  <w:vAlign w:val="center"/>
                </w:tcPr>
                <w:p w14:paraId="29CB5D8A">
                  <w:pPr>
                    <w:widowControl/>
                    <w:snapToGrid w:val="0"/>
                    <w:jc w:val="center"/>
                    <w:textAlignment w:val="center"/>
                    <w:rPr>
                      <w:rFonts w:ascii="宋体" w:hAnsi="宋体" w:cs="宋体"/>
                      <w:bCs/>
                      <w:spacing w:val="-2"/>
                      <w:kern w:val="0"/>
                      <w:szCs w:val="21"/>
                      <w:lang w:bidi="ar"/>
                    </w:rPr>
                  </w:pPr>
                  <w:r>
                    <w:rPr>
                      <w:rStyle w:val="57"/>
                      <w:rFonts w:hint="eastAsia" w:ascii="宋体" w:hAnsi="宋体" w:cs="宋体"/>
                      <w:b w:val="0"/>
                      <w:spacing w:val="-2"/>
                      <w:kern w:val="0"/>
                      <w:sz w:val="21"/>
                      <w:szCs w:val="21"/>
                      <w:lang w:bidi="ar"/>
                    </w:rPr>
                    <w:t>壹拾万元整 (￥100,000)​</w:t>
                  </w:r>
                  <w:r>
                    <w:rPr>
                      <w:rFonts w:hint="eastAsia" w:ascii="宋体" w:hAnsi="宋体" w:cs="宋体"/>
                      <w:bCs/>
                      <w:spacing w:val="-2"/>
                      <w:kern w:val="0"/>
                      <w:szCs w:val="21"/>
                      <w:lang w:bidi="ar"/>
                    </w:rPr>
                    <w:t>​</w:t>
                  </w:r>
                </w:p>
              </w:tc>
              <w:tc>
                <w:tcPr>
                  <w:tcW w:w="2079" w:type="dxa"/>
                  <w:vAlign w:val="center"/>
                </w:tcPr>
                <w:p w14:paraId="0FFF648B">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指因骑行意外导致的身故或伤残的赔付。</w:t>
                  </w:r>
                </w:p>
              </w:tc>
            </w:tr>
            <w:tr w14:paraId="41AA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66C44287">
                  <w:pPr>
                    <w:snapToGrid w:val="0"/>
                    <w:jc w:val="center"/>
                    <w:rPr>
                      <w:rFonts w:ascii="宋体" w:hAnsi="宋体" w:cs="宋体"/>
                      <w:bCs/>
                      <w:spacing w:val="-2"/>
                      <w:kern w:val="0"/>
                      <w:szCs w:val="21"/>
                      <w:lang w:bidi="ar"/>
                    </w:rPr>
                  </w:pPr>
                </w:p>
              </w:tc>
              <w:tc>
                <w:tcPr>
                  <w:tcW w:w="1150" w:type="dxa"/>
                  <w:vAlign w:val="center"/>
                </w:tcPr>
                <w:p w14:paraId="06CBE3B7">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意外医疗保障</w:t>
                  </w:r>
                </w:p>
              </w:tc>
              <w:tc>
                <w:tcPr>
                  <w:tcW w:w="1563" w:type="dxa"/>
                  <w:vAlign w:val="center"/>
                </w:tcPr>
                <w:p w14:paraId="751FB9E2">
                  <w:pPr>
                    <w:widowControl/>
                    <w:snapToGrid w:val="0"/>
                    <w:jc w:val="center"/>
                    <w:textAlignment w:val="center"/>
                    <w:rPr>
                      <w:rFonts w:ascii="宋体" w:hAnsi="宋体" w:cs="宋体"/>
                      <w:bCs/>
                      <w:spacing w:val="-2"/>
                      <w:kern w:val="0"/>
                      <w:szCs w:val="21"/>
                      <w:lang w:bidi="ar"/>
                    </w:rPr>
                  </w:pPr>
                  <w:r>
                    <w:rPr>
                      <w:rStyle w:val="57"/>
                      <w:rFonts w:hint="eastAsia" w:ascii="宋体" w:hAnsi="宋体" w:cs="宋体"/>
                      <w:b w:val="0"/>
                      <w:spacing w:val="-2"/>
                      <w:kern w:val="0"/>
                      <w:sz w:val="21"/>
                      <w:szCs w:val="21"/>
                      <w:lang w:bidi="ar"/>
                    </w:rPr>
                    <w:t>壹万元整 (￥10,000)​</w:t>
                  </w:r>
                  <w:r>
                    <w:rPr>
                      <w:rFonts w:hint="eastAsia" w:ascii="宋体" w:hAnsi="宋体" w:cs="宋体"/>
                      <w:bCs/>
                      <w:spacing w:val="-2"/>
                      <w:kern w:val="0"/>
                      <w:szCs w:val="21"/>
                      <w:lang w:bidi="ar"/>
                    </w:rPr>
                    <w:t>​</w:t>
                  </w:r>
                </w:p>
              </w:tc>
              <w:tc>
                <w:tcPr>
                  <w:tcW w:w="2079" w:type="dxa"/>
                  <w:vAlign w:val="center"/>
                </w:tcPr>
                <w:p w14:paraId="401CD1E9">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指因意外受伤产生的必要且合理的医疗费用。</w:t>
                  </w:r>
                </w:p>
              </w:tc>
            </w:tr>
            <w:tr w14:paraId="0BD4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707B79F9">
                  <w:pPr>
                    <w:widowControl/>
                    <w:snapToGrid w:val="0"/>
                    <w:jc w:val="center"/>
                    <w:textAlignment w:val="center"/>
                    <w:rPr>
                      <w:rFonts w:ascii="宋体" w:hAnsi="宋体" w:cs="宋体"/>
                      <w:bCs/>
                      <w:spacing w:val="-2"/>
                      <w:kern w:val="0"/>
                      <w:szCs w:val="21"/>
                      <w:lang w:bidi="ar"/>
                    </w:rPr>
                  </w:pPr>
                  <w:r>
                    <w:rPr>
                      <w:rStyle w:val="57"/>
                      <w:rFonts w:hint="eastAsia" w:ascii="宋体" w:hAnsi="宋体" w:cs="宋体"/>
                      <w:b w:val="0"/>
                      <w:spacing w:val="-2"/>
                      <w:kern w:val="0"/>
                      <w:sz w:val="21"/>
                      <w:szCs w:val="21"/>
                      <w:lang w:bidi="ar"/>
                    </w:rPr>
                    <w:t>第三者责任险​</w:t>
                  </w:r>
                  <w:r>
                    <w:rPr>
                      <w:rFonts w:hint="eastAsia" w:ascii="宋体" w:hAnsi="宋体" w:cs="宋体"/>
                      <w:bCs/>
                      <w:spacing w:val="-2"/>
                      <w:kern w:val="0"/>
                      <w:szCs w:val="21"/>
                      <w:lang w:bidi="ar"/>
                    </w:rPr>
                    <w:t>​</w:t>
                  </w:r>
                </w:p>
              </w:tc>
              <w:tc>
                <w:tcPr>
                  <w:tcW w:w="1150" w:type="dxa"/>
                  <w:vAlign w:val="center"/>
                </w:tcPr>
                <w:p w14:paraId="25FBB6BB">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人身伤亡保障</w:t>
                  </w:r>
                </w:p>
              </w:tc>
              <w:tc>
                <w:tcPr>
                  <w:tcW w:w="1563" w:type="dxa"/>
                  <w:vAlign w:val="center"/>
                </w:tcPr>
                <w:p w14:paraId="4E074DD7">
                  <w:pPr>
                    <w:widowControl/>
                    <w:snapToGrid w:val="0"/>
                    <w:jc w:val="center"/>
                    <w:textAlignment w:val="center"/>
                    <w:rPr>
                      <w:rFonts w:ascii="宋体" w:hAnsi="宋体" w:cs="宋体"/>
                      <w:bCs/>
                      <w:spacing w:val="-2"/>
                      <w:kern w:val="0"/>
                      <w:szCs w:val="21"/>
                      <w:lang w:bidi="ar"/>
                    </w:rPr>
                  </w:pPr>
                  <w:r>
                    <w:rPr>
                      <w:rStyle w:val="57"/>
                      <w:rFonts w:hint="eastAsia" w:ascii="宋体" w:hAnsi="宋体" w:cs="宋体"/>
                      <w:b w:val="0"/>
                      <w:spacing w:val="-2"/>
                      <w:kern w:val="0"/>
                      <w:sz w:val="21"/>
                      <w:szCs w:val="21"/>
                      <w:lang w:bidi="ar"/>
                    </w:rPr>
                    <w:t>壹拾万元整 (￥100,000)​</w:t>
                  </w:r>
                  <w:r>
                    <w:rPr>
                      <w:rFonts w:hint="eastAsia" w:ascii="宋体" w:hAnsi="宋体" w:cs="宋体"/>
                      <w:bCs/>
                      <w:spacing w:val="-2"/>
                      <w:kern w:val="0"/>
                      <w:szCs w:val="21"/>
                      <w:lang w:bidi="ar"/>
                    </w:rPr>
                    <w:t>​</w:t>
                  </w:r>
                </w:p>
              </w:tc>
              <w:tc>
                <w:tcPr>
                  <w:tcW w:w="2079" w:type="dxa"/>
                  <w:vAlign w:val="center"/>
                </w:tcPr>
                <w:p w14:paraId="039D4654">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指因用户责任造成第三方人身伤亡时的经济赔偿。</w:t>
                  </w:r>
                </w:p>
              </w:tc>
            </w:tr>
            <w:tr w14:paraId="2009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274AB30D">
                  <w:pPr>
                    <w:snapToGrid w:val="0"/>
                    <w:jc w:val="center"/>
                    <w:rPr>
                      <w:rFonts w:ascii="宋体" w:hAnsi="宋体" w:cs="宋体"/>
                      <w:bCs/>
                      <w:spacing w:val="-2"/>
                      <w:kern w:val="0"/>
                      <w:szCs w:val="21"/>
                      <w:lang w:bidi="ar"/>
                    </w:rPr>
                  </w:pPr>
                </w:p>
              </w:tc>
              <w:tc>
                <w:tcPr>
                  <w:tcW w:w="1150" w:type="dxa"/>
                  <w:vAlign w:val="center"/>
                </w:tcPr>
                <w:p w14:paraId="26C2F18A">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财产损失保障</w:t>
                  </w:r>
                </w:p>
              </w:tc>
              <w:tc>
                <w:tcPr>
                  <w:tcW w:w="1563" w:type="dxa"/>
                  <w:vAlign w:val="center"/>
                </w:tcPr>
                <w:p w14:paraId="4368F0EE">
                  <w:pPr>
                    <w:widowControl/>
                    <w:snapToGrid w:val="0"/>
                    <w:jc w:val="center"/>
                    <w:textAlignment w:val="center"/>
                    <w:rPr>
                      <w:rFonts w:ascii="宋体" w:hAnsi="宋体" w:cs="宋体"/>
                      <w:bCs/>
                      <w:spacing w:val="-2"/>
                      <w:kern w:val="0"/>
                      <w:szCs w:val="21"/>
                      <w:lang w:bidi="ar"/>
                    </w:rPr>
                  </w:pPr>
                  <w:r>
                    <w:rPr>
                      <w:rStyle w:val="57"/>
                      <w:rFonts w:hint="eastAsia" w:ascii="宋体" w:hAnsi="宋体" w:cs="宋体"/>
                      <w:b w:val="0"/>
                      <w:spacing w:val="-2"/>
                      <w:kern w:val="0"/>
                      <w:sz w:val="21"/>
                      <w:szCs w:val="21"/>
                      <w:lang w:bidi="ar"/>
                    </w:rPr>
                    <w:t>贰万元整 (￥20,000)​</w:t>
                  </w:r>
                  <w:r>
                    <w:rPr>
                      <w:rFonts w:hint="eastAsia" w:ascii="宋体" w:hAnsi="宋体" w:cs="宋体"/>
                      <w:bCs/>
                      <w:spacing w:val="-2"/>
                      <w:kern w:val="0"/>
                      <w:szCs w:val="21"/>
                      <w:lang w:bidi="ar"/>
                    </w:rPr>
                    <w:t>​</w:t>
                  </w:r>
                </w:p>
              </w:tc>
              <w:tc>
                <w:tcPr>
                  <w:tcW w:w="2079" w:type="dxa"/>
                  <w:vAlign w:val="center"/>
                </w:tcPr>
                <w:p w14:paraId="1C80B5B3">
                  <w:pPr>
                    <w:widowControl/>
                    <w:snapToGrid w:val="0"/>
                    <w:jc w:val="center"/>
                    <w:textAlignment w:val="center"/>
                    <w:rPr>
                      <w:rFonts w:ascii="宋体" w:hAnsi="宋体" w:cs="宋体"/>
                      <w:bCs/>
                      <w:spacing w:val="-2"/>
                      <w:kern w:val="0"/>
                      <w:szCs w:val="21"/>
                      <w:lang w:bidi="ar"/>
                    </w:rPr>
                  </w:pPr>
                  <w:r>
                    <w:rPr>
                      <w:rFonts w:hint="eastAsia" w:ascii="宋体" w:hAnsi="宋体" w:cs="宋体"/>
                      <w:bCs/>
                      <w:spacing w:val="-2"/>
                      <w:kern w:val="0"/>
                      <w:szCs w:val="21"/>
                      <w:lang w:bidi="ar"/>
                    </w:rPr>
                    <w:t>指因用户责任造成第三方财产损失时的经济赔偿。</w:t>
                  </w:r>
                </w:p>
              </w:tc>
            </w:tr>
          </w:tbl>
          <w:p w14:paraId="28A926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供应商在竞标时可以根据政策规定设定保险类型和提高赔付金。</w:t>
            </w:r>
          </w:p>
          <w:p w14:paraId="213625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六、场地费和履约保证金：供应商成交后在签订合同前，须根据供应商磋商报价向甲方支付场地使用费不少于2万元，转至采购人指定账户；</w:t>
            </w:r>
          </w:p>
          <w:p w14:paraId="78FEA1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供应商成交后在签订合同前，须向采购人支付履约保证金2万元，转至采购人指定账户。服务期满，供应商提出申请后甲方在</w:t>
            </w:r>
            <w:r>
              <w:rPr>
                <w:rFonts w:hint="eastAsia" w:ascii="宋体" w:hAnsi="宋体" w:cs="宋体"/>
                <w:szCs w:val="21"/>
              </w:rPr>
              <w:t>5</w:t>
            </w:r>
            <w:r>
              <w:rPr>
                <w:rFonts w:hint="eastAsia" w:ascii="宋体" w:hAnsi="宋体" w:cs="宋体"/>
                <w:szCs w:val="21"/>
                <w:lang w:val="zh-CN"/>
              </w:rPr>
              <w:t>个工作日内办理履约保证金退还手续无息退还供应商。当履约保证金因各种原因被扣减低于2万时，供应商在收到采购人通知后须在10个工作内补足。</w:t>
            </w:r>
          </w:p>
          <w:p w14:paraId="55F3E4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七、投入到校区的人员、设备、技防：供应商每天须有足够的车辆管理员在校园内维护单车和管理单车停放秩序（武鸣校区每天至少有3名管理员、五合校区每天至少有1名管理员，</w:t>
            </w:r>
            <w:r>
              <w:rPr>
                <w:rFonts w:hint="eastAsia" w:ascii="宋体" w:hAnsi="宋体" w:cs="宋体"/>
                <w:szCs w:val="21"/>
              </w:rPr>
              <w:t>遇学校有重大活动需要增加维护共享单车秩序人员时，供应商须按采购人要求无条件调配足够人员维护车辆停放秩序</w:t>
            </w:r>
            <w:r>
              <w:rPr>
                <w:rFonts w:hint="eastAsia" w:ascii="宋体" w:hAnsi="宋体" w:cs="宋体"/>
                <w:szCs w:val="21"/>
                <w:lang w:val="zh-CN"/>
              </w:rPr>
              <w:t>。供应商可根据自己的技术条件在其管理系统内按照停车规划地点完善师生还车的响应设置，以便从系统操作层面规范师生停放车辆行为。</w:t>
            </w:r>
          </w:p>
          <w:p w14:paraId="7C767A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八、服务方案：提供科学、合理、可行的服务方案，其中包括：供应商不得在服务我校的共享单车平台软件发布商业广告；供应商确保共享单车按照中标价的收费标准服务全体师生。</w:t>
            </w:r>
          </w:p>
          <w:p w14:paraId="7444C9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九、参考骑费：以每次1元/30分钟为一个基数，30分钟以内收1元，连续骑行超30分钟进入31分后，每30分钟又收1元，以此类推。月卡9.9元每月，学期卡（以150天计）39元。</w:t>
            </w:r>
          </w:p>
          <w:p w14:paraId="61BEDF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 w:hAnsi="仿宋" w:eastAsia="仿宋"/>
                <w:szCs w:val="21"/>
              </w:rPr>
            </w:pPr>
            <w:r>
              <w:rPr>
                <w:rFonts w:hint="eastAsia" w:ascii="宋体" w:hAnsi="宋体" w:cs="宋体"/>
                <w:szCs w:val="21"/>
                <w:lang w:val="zh-CN"/>
              </w:rPr>
              <w:t>供应商在竞标时可以根据政策和市场行情设定骑费额度，保证收费合理，又防止恶意低价竞争。</w:t>
            </w:r>
          </w:p>
        </w:tc>
      </w:tr>
      <w:tr w14:paraId="60FC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9" w:type="dxa"/>
            <w:gridSpan w:val="5"/>
            <w:tcBorders>
              <w:top w:val="single" w:color="auto" w:sz="4" w:space="0"/>
              <w:left w:val="single" w:color="auto" w:sz="4" w:space="0"/>
              <w:bottom w:val="single" w:color="auto" w:sz="4" w:space="0"/>
              <w:right w:val="single" w:color="auto" w:sz="4" w:space="0"/>
            </w:tcBorders>
          </w:tcPr>
          <w:p w14:paraId="62225DCD">
            <w:pPr>
              <w:spacing w:line="360" w:lineRule="exact"/>
              <w:rPr>
                <w:rFonts w:ascii="宋体" w:hAnsi="宋体"/>
                <w:szCs w:val="21"/>
              </w:rPr>
            </w:pPr>
            <w:r>
              <w:rPr>
                <w:rFonts w:hint="eastAsia" w:ascii="宋体" w:hAnsi="宋体"/>
                <w:szCs w:val="21"/>
              </w:rPr>
              <w:t>▲</w:t>
            </w:r>
            <w:r>
              <w:rPr>
                <w:rFonts w:hint="eastAsia" w:ascii="宋体" w:hAnsi="宋体"/>
                <w:b/>
                <w:szCs w:val="21"/>
              </w:rPr>
              <w:t>商务要求</w:t>
            </w:r>
          </w:p>
        </w:tc>
      </w:tr>
      <w:tr w14:paraId="246C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376EE0FC">
            <w:pPr>
              <w:spacing w:line="360" w:lineRule="exact"/>
              <w:jc w:val="center"/>
              <w:rPr>
                <w:rFonts w:ascii="宋体" w:hAnsi="宋体"/>
                <w:szCs w:val="21"/>
              </w:rPr>
            </w:pPr>
            <w:r>
              <w:rPr>
                <w:rFonts w:hint="eastAsia" w:ascii="宋体" w:hAnsi="宋体"/>
                <w:szCs w:val="21"/>
              </w:rPr>
              <w:t>服务期限及地点</w:t>
            </w:r>
          </w:p>
        </w:tc>
        <w:tc>
          <w:tcPr>
            <w:tcW w:w="7415" w:type="dxa"/>
            <w:gridSpan w:val="3"/>
            <w:tcBorders>
              <w:top w:val="single" w:color="auto" w:sz="4" w:space="0"/>
              <w:left w:val="single" w:color="auto" w:sz="4" w:space="0"/>
              <w:bottom w:val="single" w:color="auto" w:sz="4" w:space="0"/>
              <w:right w:val="single" w:color="auto" w:sz="4" w:space="0"/>
            </w:tcBorders>
            <w:vAlign w:val="center"/>
          </w:tcPr>
          <w:p w14:paraId="288418AA">
            <w:pPr>
              <w:spacing w:line="360" w:lineRule="auto"/>
              <w:rPr>
                <w:rFonts w:ascii="宋体" w:hAnsi="宋体"/>
                <w:szCs w:val="21"/>
              </w:rPr>
            </w:pPr>
            <w:r>
              <w:rPr>
                <w:rFonts w:hint="eastAsia" w:ascii="宋体" w:hAnsi="宋体"/>
                <w:szCs w:val="21"/>
              </w:rPr>
              <w:t>1.服务期限：2026年1月1日至 2027年12月31日。</w:t>
            </w:r>
          </w:p>
          <w:p w14:paraId="01ADB5CC">
            <w:pPr>
              <w:spacing w:line="360" w:lineRule="auto"/>
              <w:rPr>
                <w:rFonts w:ascii="宋体" w:hAnsi="宋体"/>
                <w:szCs w:val="21"/>
              </w:rPr>
            </w:pPr>
            <w:r>
              <w:rPr>
                <w:rFonts w:hint="eastAsia" w:ascii="宋体" w:hAnsi="宋体"/>
                <w:szCs w:val="21"/>
              </w:rPr>
              <w:t>2.服务地点：采购人指定地点；</w:t>
            </w:r>
          </w:p>
        </w:tc>
      </w:tr>
      <w:tr w14:paraId="600C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6D77C8BA">
            <w:pPr>
              <w:spacing w:line="360" w:lineRule="exact"/>
              <w:jc w:val="center"/>
              <w:rPr>
                <w:rFonts w:ascii="宋体" w:hAnsi="宋体"/>
                <w:szCs w:val="21"/>
              </w:rPr>
            </w:pPr>
            <w:r>
              <w:rPr>
                <w:rFonts w:hint="eastAsia" w:ascii="宋体" w:hAnsi="宋体"/>
                <w:szCs w:val="21"/>
              </w:rPr>
              <w:t>售后服务要求</w:t>
            </w:r>
          </w:p>
        </w:tc>
        <w:tc>
          <w:tcPr>
            <w:tcW w:w="7415" w:type="dxa"/>
            <w:gridSpan w:val="3"/>
            <w:tcBorders>
              <w:top w:val="single" w:color="auto" w:sz="4" w:space="0"/>
              <w:left w:val="single" w:color="auto" w:sz="4" w:space="0"/>
              <w:bottom w:val="single" w:color="auto" w:sz="4" w:space="0"/>
              <w:right w:val="single" w:color="auto" w:sz="4" w:space="0"/>
            </w:tcBorders>
            <w:vAlign w:val="center"/>
          </w:tcPr>
          <w:p w14:paraId="7D0FB8B1">
            <w:pPr>
              <w:spacing w:line="360" w:lineRule="auto"/>
              <w:rPr>
                <w:rFonts w:ascii="宋体" w:hAnsi="宋体"/>
                <w:szCs w:val="21"/>
              </w:rPr>
            </w:pPr>
            <w:r>
              <w:rPr>
                <w:rFonts w:hint="eastAsia" w:ascii="宋体" w:hAnsi="宋体"/>
                <w:szCs w:val="21"/>
              </w:rPr>
              <w:t>1.运营维护期内，成交人无偿对项目出现的各类问题进行修改和完善。</w:t>
            </w:r>
          </w:p>
          <w:p w14:paraId="100FDEAF">
            <w:pPr>
              <w:spacing w:line="360" w:lineRule="auto"/>
              <w:rPr>
                <w:rFonts w:ascii="Arial" w:hAnsi="Arial" w:cs="Arial"/>
              </w:rPr>
            </w:pPr>
            <w:r>
              <w:rPr>
                <w:rFonts w:hint="eastAsia" w:ascii="宋体" w:hAnsi="宋体"/>
                <w:szCs w:val="21"/>
              </w:rPr>
              <w:t>2.处理问题响应时间：接到采购人处理问题通知后0</w:t>
            </w:r>
            <w:r>
              <w:rPr>
                <w:rFonts w:ascii="宋体" w:hAnsi="宋体"/>
                <w:szCs w:val="21"/>
              </w:rPr>
              <w:t>.5</w:t>
            </w:r>
            <w:r>
              <w:rPr>
                <w:rFonts w:hint="eastAsia" w:ascii="宋体" w:hAnsi="宋体"/>
                <w:szCs w:val="21"/>
              </w:rPr>
              <w:t>小时内到达采购人指定现场，</w:t>
            </w:r>
            <w:r>
              <w:rPr>
                <w:rFonts w:hint="eastAsia" w:ascii="Arial" w:hAnsi="Arial" w:cs="Arial"/>
              </w:rPr>
              <w:t>按采购人要求解决。</w:t>
            </w:r>
          </w:p>
        </w:tc>
      </w:tr>
      <w:tr w14:paraId="0368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495DD8AC">
            <w:pPr>
              <w:spacing w:line="360" w:lineRule="exact"/>
              <w:jc w:val="center"/>
              <w:rPr>
                <w:rFonts w:ascii="宋体" w:hAnsi="宋体"/>
                <w:szCs w:val="21"/>
              </w:rPr>
            </w:pPr>
            <w:r>
              <w:rPr>
                <w:rFonts w:hint="eastAsia" w:ascii="宋体" w:hAnsi="宋体"/>
                <w:szCs w:val="21"/>
              </w:rPr>
              <w:t>其它要求</w:t>
            </w:r>
          </w:p>
        </w:tc>
        <w:tc>
          <w:tcPr>
            <w:tcW w:w="7415" w:type="dxa"/>
            <w:gridSpan w:val="3"/>
            <w:tcBorders>
              <w:top w:val="single" w:color="auto" w:sz="4" w:space="0"/>
              <w:left w:val="single" w:color="auto" w:sz="4" w:space="0"/>
              <w:bottom w:val="single" w:color="auto" w:sz="4" w:space="0"/>
              <w:right w:val="single" w:color="auto" w:sz="4" w:space="0"/>
            </w:tcBorders>
            <w:vAlign w:val="center"/>
          </w:tcPr>
          <w:p w14:paraId="7E46A34D">
            <w:pPr>
              <w:autoSpaceDE w:val="0"/>
              <w:autoSpaceDN w:val="0"/>
              <w:spacing w:line="360" w:lineRule="auto"/>
              <w:jc w:val="left"/>
              <w:rPr>
                <w:rFonts w:ascii="宋体" w:hAnsi="宋体"/>
                <w:szCs w:val="21"/>
              </w:rPr>
            </w:pPr>
            <w:r>
              <w:rPr>
                <w:rFonts w:hint="eastAsia" w:ascii="宋体" w:hAnsi="宋体"/>
                <w:szCs w:val="21"/>
              </w:rPr>
              <w:t>1.供应商若成为成交人，采购人不另行支付关于本次项目的任何费用，包含伴随本项目的货物、工程（如有）、投标范围人员的工资（住宿、办公、通讯、交通等）价格以及安装调试、维护等一切税金和费用以及中标人可预见的其他因素及风险等所有费用；</w:t>
            </w:r>
          </w:p>
          <w:p w14:paraId="7B2F6ADA">
            <w:pPr>
              <w:autoSpaceDE w:val="0"/>
              <w:autoSpaceDN w:val="0"/>
              <w:spacing w:line="360" w:lineRule="auto"/>
              <w:jc w:val="left"/>
              <w:rPr>
                <w:rFonts w:ascii="宋体" w:hAnsi="宋体"/>
                <w:szCs w:val="21"/>
              </w:rPr>
            </w:pPr>
            <w:r>
              <w:rPr>
                <w:rFonts w:hint="eastAsia" w:ascii="宋体" w:hAnsi="宋体"/>
                <w:szCs w:val="21"/>
              </w:rPr>
              <w:t>2.保密要求：成交人必须严格遵守采购人各项管理规定，在任何情况下，禁止复制、传播、引用及接触到的采购人各类业务数据、工作措施等信息，如出现业务数据、涉密数据泄露，采购人将终止服务合同，并将追究服务中标人相关法律责任；</w:t>
            </w:r>
          </w:p>
          <w:p w14:paraId="3372ADD8">
            <w:pPr>
              <w:autoSpaceDE w:val="0"/>
              <w:autoSpaceDN w:val="0"/>
              <w:spacing w:line="360" w:lineRule="auto"/>
              <w:jc w:val="left"/>
              <w:rPr>
                <w:rFonts w:ascii="宋体" w:hAnsi="宋体"/>
                <w:szCs w:val="21"/>
              </w:rPr>
            </w:pPr>
            <w:r>
              <w:rPr>
                <w:rFonts w:hint="eastAsia" w:ascii="宋体" w:hAnsi="宋体"/>
                <w:szCs w:val="21"/>
              </w:rPr>
              <w:t>3.供应商于响应文件中对提供服务作出真实、有效的响应和承诺。所提供的服务必须符合国家有关质量标准：服务工作完成后，采购人现场根据招标文件要求及投标文件承诺逐条对应进行核验，核验不合格的，采购人有权终止合同执行并退回服务，同时报相关监督管理部门处理，由此造成采购人经济损失的由中标人负责承担全部赔偿责任。</w:t>
            </w:r>
          </w:p>
        </w:tc>
      </w:tr>
      <w:tr w14:paraId="3015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79E624BA">
            <w:pPr>
              <w:spacing w:line="360" w:lineRule="exact"/>
              <w:jc w:val="center"/>
              <w:rPr>
                <w:rFonts w:ascii="宋体" w:hAnsi="宋体"/>
                <w:szCs w:val="21"/>
              </w:rPr>
            </w:pPr>
            <w:r>
              <w:rPr>
                <w:rFonts w:hint="eastAsia" w:ascii="宋体" w:hAnsi="宋体"/>
                <w:szCs w:val="21"/>
              </w:rPr>
              <w:t>报价要求</w:t>
            </w:r>
          </w:p>
        </w:tc>
        <w:tc>
          <w:tcPr>
            <w:tcW w:w="7415" w:type="dxa"/>
            <w:gridSpan w:val="3"/>
            <w:tcBorders>
              <w:top w:val="single" w:color="auto" w:sz="4" w:space="0"/>
              <w:left w:val="single" w:color="auto" w:sz="4" w:space="0"/>
              <w:bottom w:val="single" w:color="auto" w:sz="4" w:space="0"/>
              <w:right w:val="single" w:color="auto" w:sz="4" w:space="0"/>
            </w:tcBorders>
            <w:vAlign w:val="center"/>
          </w:tcPr>
          <w:p w14:paraId="08F7F481">
            <w:pPr>
              <w:autoSpaceDE w:val="0"/>
              <w:autoSpaceDN w:val="0"/>
              <w:spacing w:line="360" w:lineRule="auto"/>
              <w:jc w:val="left"/>
              <w:rPr>
                <w:rFonts w:ascii="宋体" w:hAnsi="宋体"/>
                <w:szCs w:val="21"/>
              </w:rPr>
            </w:pPr>
            <w:r>
              <w:rPr>
                <w:rFonts w:hint="eastAsia" w:ascii="宋体" w:hAnsi="宋体"/>
                <w:szCs w:val="21"/>
              </w:rPr>
              <w:t>1.</w:t>
            </w:r>
            <w:r>
              <w:rPr>
                <w:rFonts w:ascii="宋体" w:hAnsi="宋体"/>
                <w:szCs w:val="21"/>
              </w:rPr>
              <w:t>骑费。</w:t>
            </w:r>
            <w:r>
              <w:rPr>
                <w:rFonts w:hint="eastAsia" w:ascii="宋体" w:hAnsi="宋体"/>
                <w:szCs w:val="21"/>
              </w:rPr>
              <w:t>以每次1元/30分钟为一个基数，30分钟以内收1元，连续骑行超30分钟进入31分后，每30分钟又收1元，以此类推。月卡9.9元每月，学期卡（以150天计）39元。</w:t>
            </w:r>
            <w:r>
              <w:rPr>
                <w:rFonts w:hint="eastAsia" w:ascii="宋体" w:hAnsi="宋体"/>
                <w:b/>
                <w:bCs/>
                <w:szCs w:val="21"/>
              </w:rPr>
              <w:t>单价、月卡、学期卡报价合计作为评标价，报价不能高于以上价格，否则投标无效</w:t>
            </w:r>
            <w:r>
              <w:rPr>
                <w:rFonts w:hint="eastAsia" w:ascii="宋体" w:hAnsi="宋体"/>
                <w:szCs w:val="21"/>
              </w:rPr>
              <w:t>。</w:t>
            </w:r>
          </w:p>
          <w:p w14:paraId="12B6338D">
            <w:pPr>
              <w:autoSpaceDE w:val="0"/>
              <w:autoSpaceDN w:val="0"/>
              <w:spacing w:line="360" w:lineRule="auto"/>
              <w:jc w:val="left"/>
              <w:rPr>
                <w:rFonts w:ascii="宋体" w:hAnsi="宋体"/>
                <w:szCs w:val="21"/>
              </w:rPr>
            </w:pPr>
            <w:r>
              <w:rPr>
                <w:rFonts w:hint="eastAsia" w:ascii="宋体" w:hAnsi="宋体"/>
                <w:szCs w:val="21"/>
              </w:rPr>
              <w:t>2</w:t>
            </w:r>
            <w:r>
              <w:rPr>
                <w:rFonts w:ascii="宋体" w:hAnsi="宋体"/>
                <w:szCs w:val="21"/>
              </w:rPr>
              <w:t>.场地使用费。</w:t>
            </w:r>
            <w:r>
              <w:rPr>
                <w:rFonts w:hint="eastAsia" w:ascii="宋体" w:hAnsi="宋体" w:cs="宋体"/>
                <w:szCs w:val="21"/>
                <w:lang w:val="zh-CN"/>
              </w:rPr>
              <w:t>供应商根据市场行情报价，向甲方支付场地使用费不少于2万元</w:t>
            </w:r>
            <w:r>
              <w:rPr>
                <w:rFonts w:hint="eastAsia" w:ascii="宋体" w:hAnsi="宋体" w:cs="宋体"/>
                <w:szCs w:val="21"/>
              </w:rPr>
              <w:t>。</w:t>
            </w:r>
          </w:p>
        </w:tc>
      </w:tr>
      <w:tr w14:paraId="4B38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63908454">
            <w:pPr>
              <w:spacing w:line="360" w:lineRule="exact"/>
              <w:jc w:val="center"/>
              <w:rPr>
                <w:rFonts w:ascii="宋体" w:hAnsi="宋体"/>
                <w:szCs w:val="21"/>
              </w:rPr>
            </w:pPr>
            <w:r>
              <w:rPr>
                <w:rFonts w:hint="eastAsia" w:ascii="宋体" w:hAnsi="宋体"/>
                <w:szCs w:val="21"/>
              </w:rPr>
              <w:t>知识产权及其他</w:t>
            </w:r>
          </w:p>
        </w:tc>
        <w:tc>
          <w:tcPr>
            <w:tcW w:w="7415" w:type="dxa"/>
            <w:gridSpan w:val="3"/>
            <w:tcBorders>
              <w:top w:val="single" w:color="auto" w:sz="4" w:space="0"/>
              <w:left w:val="single" w:color="auto" w:sz="4" w:space="0"/>
              <w:bottom w:val="single" w:color="auto" w:sz="4" w:space="0"/>
              <w:right w:val="single" w:color="auto" w:sz="4" w:space="0"/>
            </w:tcBorders>
            <w:vAlign w:val="center"/>
          </w:tcPr>
          <w:p w14:paraId="3AD28E31">
            <w:pPr>
              <w:spacing w:line="360" w:lineRule="auto"/>
              <w:ind w:right="-57" w:rightChars="-27"/>
              <w:jc w:val="left"/>
              <w:rPr>
                <w:rFonts w:ascii="宋体" w:hAnsi="宋体"/>
                <w:szCs w:val="21"/>
              </w:rPr>
            </w:pPr>
            <w:r>
              <w:rPr>
                <w:rFonts w:hint="eastAsia" w:ascii="宋体" w:hAnsi="宋体"/>
                <w:szCs w:val="21"/>
              </w:rPr>
              <w:t>1.采购人在中华人民共和国境内使用成交人提供的产品及服务时免受第三方提出的侵犯其专利权或其它知识产权的起诉。如果第三方提出侵权指控，成交人应承担由此而引起的一切法律责任和费用。</w:t>
            </w:r>
          </w:p>
          <w:p w14:paraId="337BB403">
            <w:pPr>
              <w:spacing w:line="360" w:lineRule="auto"/>
              <w:ind w:right="-57" w:rightChars="-27"/>
              <w:jc w:val="left"/>
              <w:rPr>
                <w:rFonts w:ascii="宋体" w:hAnsi="宋体"/>
                <w:szCs w:val="21"/>
              </w:rPr>
            </w:pPr>
            <w:r>
              <w:rPr>
                <w:rFonts w:hint="eastAsia" w:ascii="宋体" w:hAnsi="宋体"/>
                <w:szCs w:val="21"/>
              </w:rPr>
              <w:t>2.在货物验收时候，如发现存在虚假响应，采购人将终止合同，并上报监督管理部门进行处罚。</w:t>
            </w:r>
          </w:p>
        </w:tc>
      </w:tr>
      <w:tr w14:paraId="3B3A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79137578">
            <w:pPr>
              <w:spacing w:line="360" w:lineRule="exact"/>
              <w:jc w:val="center"/>
              <w:rPr>
                <w:rFonts w:ascii="宋体" w:hAnsi="宋体"/>
                <w:szCs w:val="21"/>
              </w:rPr>
            </w:pPr>
            <w:r>
              <w:rPr>
                <w:rFonts w:hint="eastAsia" w:ascii="宋体" w:hAnsi="宋体"/>
                <w:szCs w:val="21"/>
              </w:rPr>
              <w:t>履约保证金</w:t>
            </w:r>
          </w:p>
        </w:tc>
        <w:tc>
          <w:tcPr>
            <w:tcW w:w="7415" w:type="dxa"/>
            <w:gridSpan w:val="3"/>
            <w:tcBorders>
              <w:top w:val="single" w:color="auto" w:sz="4" w:space="0"/>
              <w:left w:val="single" w:color="auto" w:sz="4" w:space="0"/>
              <w:bottom w:val="single" w:color="auto" w:sz="4" w:space="0"/>
              <w:right w:val="single" w:color="auto" w:sz="4" w:space="0"/>
            </w:tcBorders>
            <w:vAlign w:val="center"/>
          </w:tcPr>
          <w:p w14:paraId="2D71C2F4">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ascii="宋体" w:hAnsi="宋体" w:cs="宋体"/>
                <w:szCs w:val="21"/>
                <w:lang w:val="zh-CN"/>
              </w:rPr>
            </w:pPr>
            <w:r>
              <w:rPr>
                <w:rFonts w:hint="eastAsia" w:ascii="宋体" w:hAnsi="宋体" w:cs="宋体"/>
                <w:szCs w:val="21"/>
                <w:lang w:val="zh-CN"/>
              </w:rPr>
              <w:t>供应商成交后在签订合同前，须向采购人支付履约保证金2万元，转至采购人指定账户。服务期满，供应商提出申请后甲方在</w:t>
            </w:r>
            <w:r>
              <w:rPr>
                <w:rFonts w:hint="eastAsia" w:ascii="宋体" w:hAnsi="宋体" w:cs="宋体"/>
                <w:szCs w:val="21"/>
              </w:rPr>
              <w:t>5</w:t>
            </w:r>
            <w:r>
              <w:rPr>
                <w:rFonts w:hint="eastAsia" w:ascii="宋体" w:hAnsi="宋体" w:cs="宋体"/>
                <w:szCs w:val="21"/>
                <w:lang w:val="zh-CN"/>
              </w:rPr>
              <w:t>个工作日内办理履约保证金退还手续无息退还供应商。当履约保证金因各种原因被扣减低于2万时，供应商在收到采购人通知后须在10个工作内补足。</w:t>
            </w:r>
          </w:p>
          <w:p w14:paraId="4DE66593">
            <w:pPr>
              <w:keepNext w:val="0"/>
              <w:keepLines w:val="0"/>
              <w:pageBreakBefore w:val="0"/>
              <w:widowControl w:val="0"/>
              <w:kinsoku/>
              <w:wordWrap/>
              <w:overflowPunct/>
              <w:topLinePunct w:val="0"/>
              <w:autoSpaceDE w:val="0"/>
              <w:autoSpaceDN w:val="0"/>
              <w:bidi w:val="0"/>
              <w:adjustRightInd/>
              <w:snapToGrid/>
              <w:spacing w:line="400" w:lineRule="exact"/>
              <w:ind w:left="-70"/>
              <w:textAlignment w:val="auto"/>
              <w:rPr>
                <w:rFonts w:ascii="宋体" w:hAnsi="宋体" w:cs="宋体"/>
                <w:szCs w:val="21"/>
              </w:rPr>
            </w:pPr>
            <w:r>
              <w:rPr>
                <w:rFonts w:hint="eastAsia" w:ascii="宋体" w:hAnsi="宋体" w:cs="宋体"/>
                <w:szCs w:val="21"/>
              </w:rPr>
              <w:t>开户名称：南宁师范大学</w:t>
            </w:r>
          </w:p>
          <w:p w14:paraId="0C80A150">
            <w:pPr>
              <w:keepNext w:val="0"/>
              <w:keepLines w:val="0"/>
              <w:pageBreakBefore w:val="0"/>
              <w:widowControl w:val="0"/>
              <w:kinsoku/>
              <w:wordWrap/>
              <w:overflowPunct/>
              <w:topLinePunct w:val="0"/>
              <w:autoSpaceDE w:val="0"/>
              <w:autoSpaceDN w:val="0"/>
              <w:bidi w:val="0"/>
              <w:adjustRightInd/>
              <w:snapToGrid/>
              <w:spacing w:line="400" w:lineRule="exact"/>
              <w:ind w:left="-70"/>
              <w:textAlignment w:val="auto"/>
              <w:rPr>
                <w:rFonts w:ascii="宋体" w:hAnsi="宋体" w:cs="宋体"/>
                <w:szCs w:val="21"/>
              </w:rPr>
            </w:pPr>
            <w:r>
              <w:rPr>
                <w:rFonts w:hint="eastAsia" w:ascii="宋体" w:hAnsi="宋体" w:cs="宋体"/>
                <w:szCs w:val="21"/>
              </w:rPr>
              <w:t>开户银行：中国银行南宁市明秀东支行</w:t>
            </w:r>
          </w:p>
          <w:p w14:paraId="7E4B0523">
            <w:pPr>
              <w:keepNext w:val="0"/>
              <w:keepLines w:val="0"/>
              <w:pageBreakBefore w:val="0"/>
              <w:widowControl w:val="0"/>
              <w:kinsoku/>
              <w:wordWrap/>
              <w:overflowPunct/>
              <w:topLinePunct w:val="0"/>
              <w:autoSpaceDE w:val="0"/>
              <w:autoSpaceDN w:val="0"/>
              <w:bidi w:val="0"/>
              <w:adjustRightInd/>
              <w:snapToGrid/>
              <w:spacing w:line="400" w:lineRule="exact"/>
              <w:ind w:left="-70"/>
              <w:textAlignment w:val="auto"/>
              <w:rPr>
                <w:rFonts w:ascii="宋体" w:hAnsi="宋体" w:cs="宋体"/>
                <w:szCs w:val="21"/>
              </w:rPr>
            </w:pPr>
            <w:r>
              <w:rPr>
                <w:rFonts w:hint="eastAsia" w:ascii="宋体" w:hAnsi="宋体" w:cs="宋体"/>
                <w:szCs w:val="21"/>
              </w:rPr>
              <w:t>银行账号：626257498267</w:t>
            </w:r>
          </w:p>
          <w:p w14:paraId="243F7B7F">
            <w:pPr>
              <w:keepNext w:val="0"/>
              <w:keepLines w:val="0"/>
              <w:pageBreakBefore w:val="0"/>
              <w:widowControl w:val="0"/>
              <w:kinsoku/>
              <w:wordWrap/>
              <w:overflowPunct/>
              <w:topLinePunct w:val="0"/>
              <w:bidi w:val="0"/>
              <w:adjustRightInd/>
              <w:snapToGrid/>
              <w:spacing w:line="400" w:lineRule="exact"/>
              <w:ind w:left="-70"/>
              <w:jc w:val="left"/>
              <w:textAlignment w:val="auto"/>
              <w:rPr>
                <w:rFonts w:ascii="宋体" w:hAnsi="宋体" w:cs="宋体"/>
                <w:szCs w:val="21"/>
              </w:rPr>
            </w:pPr>
            <w:r>
              <w:rPr>
                <w:rFonts w:hint="eastAsia" w:ascii="宋体" w:hAnsi="宋体" w:cs="宋体"/>
                <w:szCs w:val="21"/>
              </w:rPr>
              <w:t>备注：</w:t>
            </w:r>
          </w:p>
          <w:p w14:paraId="2127CBD3">
            <w:pPr>
              <w:spacing w:line="480" w:lineRule="exact"/>
              <w:ind w:left="-70"/>
              <w:contextualSpacing/>
              <w:rPr>
                <w:rFonts w:ascii="宋体" w:hAnsi="宋体" w:cs="宋体"/>
                <w:b/>
                <w:szCs w:val="21"/>
              </w:rPr>
            </w:pPr>
            <w:r>
              <w:rPr>
                <w:rFonts w:hint="eastAsia" w:ascii="宋体" w:hAnsi="宋体" w:cs="宋体"/>
                <w:b/>
                <w:szCs w:val="21"/>
              </w:rPr>
              <w:t>1</w:t>
            </w:r>
            <w:r>
              <w:rPr>
                <w:rFonts w:ascii="宋体" w:hAnsi="宋体" w:cs="宋体"/>
                <w:b/>
                <w:szCs w:val="21"/>
              </w:rPr>
              <w:t>.</w:t>
            </w:r>
            <w:r>
              <w:rPr>
                <w:rFonts w:hint="eastAsia" w:ascii="宋体" w:hAnsi="宋体"/>
                <w:b/>
                <w:szCs w:val="21"/>
              </w:rPr>
              <w:t xml:space="preserve"> 根据</w:t>
            </w:r>
            <w:r>
              <w:rPr>
                <w:rFonts w:hint="eastAsia" w:ascii="宋体" w:hAnsi="宋体" w:cs="宋体"/>
                <w:b/>
                <w:szCs w:val="21"/>
              </w:rPr>
              <w:t>《广西壮族自治区财政厅关于持续优化政府采购营商环境推动高质量发展的通知》（桂财采〔2024〕55号）</w:t>
            </w:r>
            <w:r>
              <w:rPr>
                <w:rFonts w:hint="eastAsia" w:ascii="宋体" w:hAnsi="宋体"/>
                <w:b/>
                <w:szCs w:val="21"/>
              </w:rPr>
              <w:t>规定，采购人在采购文件中要求提交履约保证金的，履约保证金数额不得超过政府采购合同金额的5%；政府采购要加大对中小企业发展的扶持力度，对中小企业收取的履约保证金数额不得超过政府采购合同金额的2%。</w:t>
            </w:r>
          </w:p>
          <w:p w14:paraId="58B513F7">
            <w:pPr>
              <w:spacing w:line="480" w:lineRule="exact"/>
              <w:ind w:left="-70"/>
              <w:contextualSpacing/>
              <w:rPr>
                <w:rFonts w:ascii="宋体" w:hAnsi="宋体" w:cs="宋体"/>
                <w:b/>
                <w:szCs w:val="21"/>
              </w:rPr>
            </w:pPr>
            <w:r>
              <w:rPr>
                <w:rFonts w:hint="eastAsia" w:ascii="宋体" w:hAnsi="宋体" w:cs="宋体"/>
                <w:b/>
                <w:szCs w:val="21"/>
              </w:rPr>
              <w:t>2</w:t>
            </w:r>
            <w:r>
              <w:rPr>
                <w:rFonts w:ascii="宋体" w:hAnsi="宋体" w:cs="宋体"/>
                <w:b/>
                <w:szCs w:val="21"/>
              </w:rPr>
              <w:t>.</w:t>
            </w:r>
            <w:r>
              <w:rPr>
                <w:rFonts w:hint="eastAsia" w:ascii="宋体" w:hAnsi="宋体" w:cs="宋体"/>
                <w:b/>
                <w:szCs w:val="21"/>
              </w:rPr>
              <w:t>履约保证金不足额缴纳的，或者银行、保险机构出具的保函额度不足的或者保函有效期低于合同履行期限（即签订采购合同之日起至履行完合同约定的权利及义务之日止）的，不予签订合同。</w:t>
            </w:r>
          </w:p>
          <w:p w14:paraId="23614FF8">
            <w:pPr>
              <w:spacing w:line="480" w:lineRule="exact"/>
              <w:ind w:left="-70"/>
              <w:contextualSpacing/>
              <w:rPr>
                <w:rFonts w:ascii="宋体" w:hAnsi="宋体" w:cs="宋体"/>
                <w:b/>
                <w:szCs w:val="21"/>
              </w:rPr>
            </w:pPr>
            <w:r>
              <w:rPr>
                <w:rFonts w:ascii="宋体" w:hAnsi="宋体" w:cs="宋体"/>
                <w:b/>
                <w:szCs w:val="21"/>
              </w:rPr>
              <w:t>3.</w:t>
            </w:r>
            <w:r>
              <w:rPr>
                <w:rFonts w:hint="eastAsia" w:ascii="宋体" w:hAnsi="宋体" w:cs="宋体"/>
                <w:b/>
                <w:szCs w:val="21"/>
              </w:rPr>
              <w:t>采用银行转账、支票、汇票、本票或者金融、担保机构出具的保函等非现金方式（参照投标保证金），否则不予签订合同。</w:t>
            </w:r>
          </w:p>
          <w:p w14:paraId="2815FB44">
            <w:pPr>
              <w:spacing w:line="360" w:lineRule="auto"/>
              <w:ind w:right="-57" w:rightChars="-27"/>
              <w:jc w:val="left"/>
              <w:rPr>
                <w:rFonts w:ascii="宋体" w:hAnsi="宋体"/>
                <w:szCs w:val="21"/>
              </w:rPr>
            </w:pPr>
            <w:r>
              <w:rPr>
                <w:rFonts w:ascii="宋体" w:hAnsi="宋体" w:cs="宋体"/>
                <w:b/>
                <w:szCs w:val="21"/>
              </w:rPr>
              <w:t>4.</w:t>
            </w:r>
            <w:r>
              <w:rPr>
                <w:rFonts w:hint="eastAsia" w:ascii="宋体" w:hAnsi="宋体" w:cs="宋体"/>
                <w:b/>
                <w:szCs w:val="21"/>
              </w:rPr>
              <w:t>供应商为联合体的，由联合体任意一方按规定提交的履约保证金，视为有效履约保证金。</w:t>
            </w:r>
          </w:p>
        </w:tc>
      </w:tr>
      <w:tr w14:paraId="38A2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44833834">
            <w:pPr>
              <w:spacing w:line="360" w:lineRule="exact"/>
              <w:jc w:val="center"/>
              <w:rPr>
                <w:rFonts w:ascii="宋体" w:hAnsi="宋体"/>
                <w:szCs w:val="21"/>
              </w:rPr>
            </w:pPr>
            <w:r>
              <w:rPr>
                <w:rFonts w:hint="eastAsia" w:ascii="宋体" w:hAnsi="宋体"/>
                <w:szCs w:val="21"/>
              </w:rPr>
              <w:t>验收要求</w:t>
            </w:r>
          </w:p>
        </w:tc>
        <w:tc>
          <w:tcPr>
            <w:tcW w:w="7415" w:type="dxa"/>
            <w:gridSpan w:val="3"/>
            <w:tcBorders>
              <w:top w:val="single" w:color="auto" w:sz="4" w:space="0"/>
              <w:left w:val="single" w:color="auto" w:sz="4" w:space="0"/>
              <w:bottom w:val="single" w:color="auto" w:sz="4" w:space="0"/>
              <w:right w:val="single" w:color="auto" w:sz="4" w:space="0"/>
            </w:tcBorders>
            <w:vAlign w:val="center"/>
          </w:tcPr>
          <w:p w14:paraId="0297053F">
            <w:pPr>
              <w:spacing w:line="360" w:lineRule="auto"/>
              <w:outlineLvl w:val="0"/>
              <w:rPr>
                <w:rFonts w:ascii="宋体" w:hAnsi="宋体"/>
                <w:kern w:val="0"/>
                <w:szCs w:val="21"/>
              </w:rPr>
            </w:pPr>
            <w:bookmarkStart w:id="27" w:name="_Toc4567"/>
            <w:r>
              <w:rPr>
                <w:rFonts w:hint="eastAsia" w:ascii="宋体" w:hAnsi="宋体"/>
                <w:kern w:val="0"/>
                <w:szCs w:val="21"/>
              </w:rPr>
              <w:t>1.采购人可以根据采购项目具体情况自行组织验收，或者委托第三方机构或部门开展采购项目履约验收工作，验收过程中所产生的一切费用均由成交人承担，供应商在竞标报价时应考虑相关费用。</w:t>
            </w:r>
            <w:bookmarkEnd w:id="27"/>
          </w:p>
          <w:p w14:paraId="55992523">
            <w:pPr>
              <w:spacing w:line="360" w:lineRule="auto"/>
              <w:outlineLvl w:val="0"/>
              <w:rPr>
                <w:rFonts w:ascii="宋体" w:hAnsi="宋体"/>
                <w:kern w:val="0"/>
                <w:szCs w:val="21"/>
              </w:rPr>
            </w:pPr>
            <w:bookmarkStart w:id="28" w:name="_Toc4584"/>
            <w:r>
              <w:rPr>
                <w:rFonts w:hint="eastAsia" w:ascii="宋体" w:hAnsi="宋体"/>
                <w:kern w:val="0"/>
                <w:szCs w:val="21"/>
              </w:rPr>
              <w:t>2.验收标准：符合国家、行业现行规范、规程和有关政策、法规规定等要求；符合国家安全生产管理相关规定。</w:t>
            </w:r>
            <w:bookmarkEnd w:id="28"/>
          </w:p>
        </w:tc>
      </w:tr>
    </w:tbl>
    <w:p w14:paraId="59B66D0A">
      <w:pPr>
        <w:rPr>
          <w:rFonts w:ascii="Arial Unicode MS" w:hAnsi="Arial Unicode MS" w:cs="Arial Unicode MS"/>
          <w:sz w:val="32"/>
          <w:szCs w:val="32"/>
        </w:rPr>
        <w:sectPr>
          <w:pgSz w:w="11906" w:h="16838"/>
          <w:pgMar w:top="1417" w:right="1644" w:bottom="1417" w:left="1644" w:header="851" w:footer="992" w:gutter="0"/>
          <w:cols w:space="720" w:num="1"/>
          <w:docGrid w:linePitch="312" w:charSpace="0"/>
        </w:sectPr>
      </w:pPr>
    </w:p>
    <w:p w14:paraId="4546EF12">
      <w:pPr>
        <w:pStyle w:val="28"/>
        <w:jc w:val="left"/>
        <w:rPr>
          <w:rFonts w:hAnsi="宋体" w:cs="宋体"/>
          <w:sz w:val="32"/>
          <w:szCs w:val="32"/>
        </w:rPr>
      </w:pPr>
      <w:r>
        <w:rPr>
          <w:rFonts w:hint="eastAsia" w:hAnsi="宋体" w:cs="宋体"/>
          <w:sz w:val="32"/>
          <w:szCs w:val="32"/>
        </w:rPr>
        <w:t>附件2：</w:t>
      </w:r>
    </w:p>
    <w:p w14:paraId="59A5C275">
      <w:pPr>
        <w:pStyle w:val="28"/>
        <w:jc w:val="center"/>
        <w:rPr>
          <w:rFonts w:hAnsi="宋体" w:cs="宋体"/>
          <w:sz w:val="32"/>
          <w:szCs w:val="32"/>
        </w:rPr>
      </w:pPr>
      <w:r>
        <w:rPr>
          <w:rFonts w:hint="eastAsia" w:hAnsi="宋体" w:cs="宋体"/>
          <w:sz w:val="32"/>
          <w:szCs w:val="32"/>
        </w:rPr>
        <w:t>中小微企业划型标准</w:t>
      </w:r>
    </w:p>
    <w:tbl>
      <w:tblPr>
        <w:tblStyle w:val="54"/>
        <w:tblW w:w="0" w:type="auto"/>
        <w:tblInd w:w="142" w:type="dxa"/>
        <w:tblLayout w:type="fixed"/>
        <w:tblCellMar>
          <w:top w:w="0" w:type="dxa"/>
          <w:left w:w="108" w:type="dxa"/>
          <w:bottom w:w="0" w:type="dxa"/>
          <w:right w:w="108" w:type="dxa"/>
        </w:tblCellMar>
      </w:tblPr>
      <w:tblGrid>
        <w:gridCol w:w="1944"/>
        <w:gridCol w:w="1580"/>
        <w:gridCol w:w="1224"/>
        <w:gridCol w:w="1815"/>
        <w:gridCol w:w="1498"/>
        <w:gridCol w:w="1057"/>
      </w:tblGrid>
      <w:tr w14:paraId="48B469EC">
        <w:tblPrEx>
          <w:tblCellMar>
            <w:top w:w="0" w:type="dxa"/>
            <w:left w:w="108" w:type="dxa"/>
            <w:bottom w:w="0" w:type="dxa"/>
            <w:right w:w="108" w:type="dxa"/>
          </w:tblCellMar>
        </w:tblPrEx>
        <w:trPr>
          <w:trHeight w:val="674" w:hRule="atLeast"/>
        </w:trPr>
        <w:tc>
          <w:tcPr>
            <w:tcW w:w="1944" w:type="dxa"/>
            <w:tcBorders>
              <w:top w:val="single" w:color="auto" w:sz="4" w:space="0"/>
              <w:left w:val="single" w:color="auto" w:sz="4" w:space="0"/>
              <w:bottom w:val="single" w:color="auto" w:sz="4" w:space="0"/>
              <w:right w:val="single" w:color="auto" w:sz="4" w:space="0"/>
            </w:tcBorders>
            <w:vAlign w:val="center"/>
          </w:tcPr>
          <w:p w14:paraId="4DE2BE22">
            <w:pPr>
              <w:widowControl/>
              <w:jc w:val="left"/>
              <w:rPr>
                <w:rFonts w:ascii="宋体" w:hAnsi="宋体" w:cs="宋体"/>
                <w:b/>
                <w:kern w:val="0"/>
                <w:sz w:val="24"/>
              </w:rPr>
            </w:pPr>
            <w:r>
              <w:rPr>
                <w:rFonts w:hint="eastAsia" w:ascii="宋体" w:hAnsi="宋体" w:cs="宋体"/>
                <w:b/>
                <w:kern w:val="0"/>
                <w:sz w:val="24"/>
              </w:rPr>
              <w:t>行业名称</w:t>
            </w:r>
          </w:p>
        </w:tc>
        <w:tc>
          <w:tcPr>
            <w:tcW w:w="1580" w:type="dxa"/>
            <w:tcBorders>
              <w:top w:val="single" w:color="auto" w:sz="4" w:space="0"/>
              <w:left w:val="nil"/>
              <w:bottom w:val="single" w:color="auto" w:sz="4" w:space="0"/>
              <w:right w:val="single" w:color="auto" w:sz="4" w:space="0"/>
            </w:tcBorders>
            <w:vAlign w:val="center"/>
          </w:tcPr>
          <w:p w14:paraId="6D202BE2">
            <w:pPr>
              <w:widowControl/>
              <w:jc w:val="center"/>
              <w:rPr>
                <w:rFonts w:ascii="宋体" w:hAnsi="宋体" w:cs="宋体"/>
                <w:b/>
                <w:kern w:val="0"/>
                <w:sz w:val="24"/>
              </w:rPr>
            </w:pPr>
            <w:r>
              <w:rPr>
                <w:rFonts w:hint="eastAsia" w:ascii="宋体" w:hAnsi="宋体" w:cs="宋体"/>
                <w:b/>
                <w:kern w:val="0"/>
                <w:sz w:val="24"/>
              </w:rPr>
              <w:t>指标名称</w:t>
            </w:r>
          </w:p>
        </w:tc>
        <w:tc>
          <w:tcPr>
            <w:tcW w:w="1224" w:type="dxa"/>
            <w:tcBorders>
              <w:top w:val="single" w:color="auto" w:sz="4" w:space="0"/>
              <w:left w:val="nil"/>
              <w:bottom w:val="single" w:color="auto" w:sz="4" w:space="0"/>
              <w:right w:val="single" w:color="auto" w:sz="4" w:space="0"/>
            </w:tcBorders>
            <w:vAlign w:val="center"/>
          </w:tcPr>
          <w:p w14:paraId="69AF603E">
            <w:pPr>
              <w:widowControl/>
              <w:jc w:val="center"/>
              <w:rPr>
                <w:rFonts w:ascii="宋体" w:hAnsi="宋体" w:cs="宋体"/>
                <w:b/>
                <w:kern w:val="0"/>
                <w:sz w:val="24"/>
              </w:rPr>
            </w:pPr>
            <w:r>
              <w:rPr>
                <w:rFonts w:hint="eastAsia" w:ascii="宋体" w:hAnsi="宋体" w:cs="宋体"/>
                <w:b/>
                <w:kern w:val="0"/>
                <w:sz w:val="24"/>
              </w:rPr>
              <w:t>计量单位</w:t>
            </w:r>
          </w:p>
        </w:tc>
        <w:tc>
          <w:tcPr>
            <w:tcW w:w="1815" w:type="dxa"/>
            <w:tcBorders>
              <w:top w:val="single" w:color="auto" w:sz="4" w:space="0"/>
              <w:left w:val="nil"/>
              <w:bottom w:val="single" w:color="auto" w:sz="4" w:space="0"/>
              <w:right w:val="single" w:color="auto" w:sz="4" w:space="0"/>
            </w:tcBorders>
            <w:vAlign w:val="center"/>
          </w:tcPr>
          <w:p w14:paraId="2D2515AF">
            <w:pPr>
              <w:widowControl/>
              <w:jc w:val="center"/>
              <w:rPr>
                <w:rFonts w:ascii="宋体" w:hAnsi="宋体" w:cs="宋体"/>
                <w:b/>
                <w:kern w:val="0"/>
                <w:sz w:val="24"/>
              </w:rPr>
            </w:pPr>
            <w:r>
              <w:rPr>
                <w:rFonts w:hint="eastAsia" w:ascii="宋体" w:hAnsi="宋体" w:cs="宋体"/>
                <w:b/>
                <w:kern w:val="0"/>
                <w:sz w:val="24"/>
              </w:rPr>
              <w:t>中型</w:t>
            </w:r>
          </w:p>
        </w:tc>
        <w:tc>
          <w:tcPr>
            <w:tcW w:w="1498" w:type="dxa"/>
            <w:tcBorders>
              <w:top w:val="single" w:color="auto" w:sz="4" w:space="0"/>
              <w:left w:val="nil"/>
              <w:bottom w:val="single" w:color="auto" w:sz="4" w:space="0"/>
              <w:right w:val="single" w:color="auto" w:sz="4" w:space="0"/>
            </w:tcBorders>
            <w:vAlign w:val="center"/>
          </w:tcPr>
          <w:p w14:paraId="0797A151">
            <w:pPr>
              <w:widowControl/>
              <w:jc w:val="center"/>
              <w:rPr>
                <w:rFonts w:ascii="宋体" w:hAnsi="宋体" w:cs="宋体"/>
                <w:b/>
                <w:kern w:val="0"/>
                <w:sz w:val="24"/>
              </w:rPr>
            </w:pPr>
            <w:r>
              <w:rPr>
                <w:rFonts w:hint="eastAsia" w:ascii="宋体" w:hAnsi="宋体" w:cs="宋体"/>
                <w:b/>
                <w:kern w:val="0"/>
                <w:sz w:val="24"/>
              </w:rPr>
              <w:t>小型</w:t>
            </w:r>
          </w:p>
        </w:tc>
        <w:tc>
          <w:tcPr>
            <w:tcW w:w="1057" w:type="dxa"/>
            <w:tcBorders>
              <w:top w:val="single" w:color="auto" w:sz="4" w:space="0"/>
              <w:left w:val="nil"/>
              <w:bottom w:val="single" w:color="auto" w:sz="4" w:space="0"/>
              <w:right w:val="single" w:color="auto" w:sz="4" w:space="0"/>
            </w:tcBorders>
            <w:vAlign w:val="center"/>
          </w:tcPr>
          <w:p w14:paraId="7A44AE2B">
            <w:pPr>
              <w:widowControl/>
              <w:jc w:val="center"/>
              <w:rPr>
                <w:rFonts w:ascii="宋体" w:hAnsi="宋体" w:cs="宋体"/>
                <w:b/>
                <w:kern w:val="0"/>
                <w:sz w:val="24"/>
              </w:rPr>
            </w:pPr>
            <w:r>
              <w:rPr>
                <w:rFonts w:hint="eastAsia" w:ascii="宋体" w:hAnsi="宋体" w:cs="宋体"/>
                <w:b/>
                <w:kern w:val="0"/>
                <w:sz w:val="24"/>
              </w:rPr>
              <w:t>微型</w:t>
            </w:r>
          </w:p>
        </w:tc>
      </w:tr>
      <w:tr w14:paraId="4D8E6DE5">
        <w:tblPrEx>
          <w:tblCellMar>
            <w:top w:w="0" w:type="dxa"/>
            <w:left w:w="108" w:type="dxa"/>
            <w:bottom w:w="0" w:type="dxa"/>
            <w:right w:w="108" w:type="dxa"/>
          </w:tblCellMar>
        </w:tblPrEx>
        <w:trPr>
          <w:trHeight w:val="342" w:hRule="atLeast"/>
        </w:trPr>
        <w:tc>
          <w:tcPr>
            <w:tcW w:w="1944" w:type="dxa"/>
            <w:tcBorders>
              <w:top w:val="nil"/>
              <w:left w:val="single" w:color="auto" w:sz="4" w:space="0"/>
              <w:bottom w:val="single" w:color="auto" w:sz="4" w:space="0"/>
              <w:right w:val="single" w:color="auto" w:sz="4" w:space="0"/>
            </w:tcBorders>
            <w:vAlign w:val="bottom"/>
          </w:tcPr>
          <w:p w14:paraId="76A01C56">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580" w:type="dxa"/>
            <w:tcBorders>
              <w:top w:val="nil"/>
              <w:left w:val="nil"/>
              <w:bottom w:val="single" w:color="auto" w:sz="4" w:space="0"/>
              <w:right w:val="single" w:color="auto" w:sz="4" w:space="0"/>
            </w:tcBorders>
            <w:vAlign w:val="center"/>
          </w:tcPr>
          <w:p w14:paraId="3412338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07E37F51">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74E0CE2B">
            <w:pPr>
              <w:widowControl/>
              <w:jc w:val="left"/>
              <w:rPr>
                <w:rFonts w:ascii="宋体" w:hAnsi="宋体" w:cs="宋体"/>
                <w:kern w:val="0"/>
                <w:sz w:val="18"/>
                <w:szCs w:val="18"/>
              </w:rPr>
            </w:pPr>
            <w:r>
              <w:rPr>
                <w:rFonts w:hint="eastAsia" w:ascii="宋体" w:hAnsi="宋体" w:cs="宋体"/>
                <w:kern w:val="0"/>
                <w:sz w:val="18"/>
                <w:szCs w:val="18"/>
              </w:rPr>
              <w:t>500≤Y＜20000</w:t>
            </w:r>
          </w:p>
        </w:tc>
        <w:tc>
          <w:tcPr>
            <w:tcW w:w="1498" w:type="dxa"/>
            <w:tcBorders>
              <w:top w:val="nil"/>
              <w:left w:val="nil"/>
              <w:bottom w:val="single" w:color="auto" w:sz="4" w:space="0"/>
              <w:right w:val="single" w:color="auto" w:sz="4" w:space="0"/>
            </w:tcBorders>
            <w:vAlign w:val="center"/>
          </w:tcPr>
          <w:p w14:paraId="0204CFB1">
            <w:pPr>
              <w:widowControl/>
              <w:jc w:val="left"/>
              <w:rPr>
                <w:rFonts w:ascii="宋体" w:hAnsi="宋体" w:cs="宋体"/>
                <w:kern w:val="0"/>
                <w:sz w:val="18"/>
                <w:szCs w:val="18"/>
              </w:rPr>
            </w:pPr>
            <w:r>
              <w:rPr>
                <w:rFonts w:hint="eastAsia" w:ascii="宋体" w:hAnsi="宋体" w:cs="宋体"/>
                <w:kern w:val="0"/>
                <w:sz w:val="18"/>
                <w:szCs w:val="18"/>
              </w:rPr>
              <w:t>50≤Y＜500</w:t>
            </w:r>
          </w:p>
        </w:tc>
        <w:tc>
          <w:tcPr>
            <w:tcW w:w="1057" w:type="dxa"/>
            <w:tcBorders>
              <w:top w:val="nil"/>
              <w:left w:val="nil"/>
              <w:bottom w:val="single" w:color="auto" w:sz="4" w:space="0"/>
              <w:right w:val="single" w:color="auto" w:sz="4" w:space="0"/>
            </w:tcBorders>
            <w:vAlign w:val="center"/>
          </w:tcPr>
          <w:p w14:paraId="19B5DEDB">
            <w:pPr>
              <w:widowControl/>
              <w:jc w:val="left"/>
              <w:rPr>
                <w:rFonts w:ascii="宋体" w:hAnsi="宋体" w:cs="宋体"/>
                <w:kern w:val="0"/>
                <w:sz w:val="18"/>
                <w:szCs w:val="18"/>
              </w:rPr>
            </w:pPr>
            <w:r>
              <w:rPr>
                <w:rFonts w:hint="eastAsia" w:ascii="宋体" w:hAnsi="宋体" w:cs="宋体"/>
                <w:kern w:val="0"/>
                <w:sz w:val="18"/>
                <w:szCs w:val="18"/>
              </w:rPr>
              <w:t>Y＜50</w:t>
            </w:r>
          </w:p>
        </w:tc>
      </w:tr>
      <w:tr w14:paraId="40F3D34F">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3223A322">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580" w:type="dxa"/>
            <w:tcBorders>
              <w:top w:val="nil"/>
              <w:left w:val="nil"/>
              <w:bottom w:val="single" w:color="auto" w:sz="4" w:space="0"/>
              <w:right w:val="single" w:color="auto" w:sz="4" w:space="0"/>
            </w:tcBorders>
            <w:vAlign w:val="center"/>
          </w:tcPr>
          <w:p w14:paraId="04D87E3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73A3A199">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5F6E11E6">
            <w:pPr>
              <w:widowControl/>
              <w:jc w:val="left"/>
              <w:rPr>
                <w:rFonts w:ascii="宋体" w:hAnsi="宋体" w:cs="宋体"/>
                <w:kern w:val="0"/>
                <w:sz w:val="18"/>
                <w:szCs w:val="18"/>
              </w:rPr>
            </w:pPr>
            <w:r>
              <w:rPr>
                <w:rFonts w:hint="eastAsia" w:ascii="宋体" w:hAnsi="宋体" w:cs="宋体"/>
                <w:kern w:val="0"/>
                <w:sz w:val="18"/>
                <w:szCs w:val="18"/>
              </w:rPr>
              <w:t>300≤X＜1000</w:t>
            </w:r>
          </w:p>
        </w:tc>
        <w:tc>
          <w:tcPr>
            <w:tcW w:w="1498" w:type="dxa"/>
            <w:tcBorders>
              <w:top w:val="nil"/>
              <w:left w:val="nil"/>
              <w:bottom w:val="single" w:color="auto" w:sz="4" w:space="0"/>
              <w:right w:val="single" w:color="auto" w:sz="4" w:space="0"/>
            </w:tcBorders>
            <w:vAlign w:val="center"/>
          </w:tcPr>
          <w:p w14:paraId="0C432266">
            <w:pPr>
              <w:widowControl/>
              <w:jc w:val="left"/>
              <w:rPr>
                <w:rFonts w:ascii="宋体" w:hAnsi="宋体" w:cs="宋体"/>
                <w:kern w:val="0"/>
                <w:sz w:val="18"/>
                <w:szCs w:val="18"/>
              </w:rPr>
            </w:pPr>
            <w:r>
              <w:rPr>
                <w:rFonts w:hint="eastAsia" w:ascii="宋体" w:hAnsi="宋体" w:cs="宋体"/>
                <w:kern w:val="0"/>
                <w:sz w:val="18"/>
                <w:szCs w:val="18"/>
              </w:rPr>
              <w:t>20≤X＜300</w:t>
            </w:r>
          </w:p>
        </w:tc>
        <w:tc>
          <w:tcPr>
            <w:tcW w:w="1057" w:type="dxa"/>
            <w:tcBorders>
              <w:top w:val="nil"/>
              <w:left w:val="nil"/>
              <w:bottom w:val="single" w:color="auto" w:sz="4" w:space="0"/>
              <w:right w:val="single" w:color="auto" w:sz="4" w:space="0"/>
            </w:tcBorders>
            <w:vAlign w:val="center"/>
          </w:tcPr>
          <w:p w14:paraId="6CA0DE63">
            <w:pPr>
              <w:widowControl/>
              <w:jc w:val="left"/>
              <w:rPr>
                <w:rFonts w:ascii="宋体" w:hAnsi="宋体" w:cs="宋体"/>
                <w:kern w:val="0"/>
                <w:sz w:val="18"/>
                <w:szCs w:val="18"/>
              </w:rPr>
            </w:pPr>
            <w:r>
              <w:rPr>
                <w:rFonts w:hint="eastAsia" w:ascii="宋体" w:hAnsi="宋体" w:cs="宋体"/>
                <w:kern w:val="0"/>
                <w:sz w:val="18"/>
                <w:szCs w:val="18"/>
              </w:rPr>
              <w:t>X＜20</w:t>
            </w:r>
          </w:p>
        </w:tc>
      </w:tr>
      <w:tr w14:paraId="5AEE6132">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77EE2F2C">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67A869B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4FB71452">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12343850">
            <w:pPr>
              <w:widowControl/>
              <w:jc w:val="left"/>
              <w:rPr>
                <w:rFonts w:ascii="宋体" w:hAnsi="宋体" w:cs="宋体"/>
                <w:kern w:val="0"/>
                <w:sz w:val="18"/>
                <w:szCs w:val="18"/>
              </w:rPr>
            </w:pPr>
            <w:r>
              <w:rPr>
                <w:rFonts w:hint="eastAsia" w:ascii="宋体" w:hAnsi="宋体" w:cs="宋体"/>
                <w:kern w:val="0"/>
                <w:sz w:val="18"/>
                <w:szCs w:val="18"/>
              </w:rPr>
              <w:t>2000≤Y＜40000</w:t>
            </w:r>
          </w:p>
        </w:tc>
        <w:tc>
          <w:tcPr>
            <w:tcW w:w="1498" w:type="dxa"/>
            <w:tcBorders>
              <w:top w:val="nil"/>
              <w:left w:val="nil"/>
              <w:bottom w:val="single" w:color="auto" w:sz="4" w:space="0"/>
              <w:right w:val="single" w:color="auto" w:sz="4" w:space="0"/>
            </w:tcBorders>
            <w:vAlign w:val="center"/>
          </w:tcPr>
          <w:p w14:paraId="316B985E">
            <w:pPr>
              <w:widowControl/>
              <w:jc w:val="left"/>
              <w:rPr>
                <w:rFonts w:ascii="宋体" w:hAnsi="宋体" w:cs="宋体"/>
                <w:kern w:val="0"/>
                <w:sz w:val="18"/>
                <w:szCs w:val="18"/>
              </w:rPr>
            </w:pPr>
            <w:r>
              <w:rPr>
                <w:rFonts w:hint="eastAsia" w:ascii="宋体" w:hAnsi="宋体" w:cs="宋体"/>
                <w:kern w:val="0"/>
                <w:sz w:val="18"/>
                <w:szCs w:val="18"/>
              </w:rPr>
              <w:t>300≤Y＜2000</w:t>
            </w:r>
          </w:p>
        </w:tc>
        <w:tc>
          <w:tcPr>
            <w:tcW w:w="1057" w:type="dxa"/>
            <w:tcBorders>
              <w:top w:val="nil"/>
              <w:left w:val="nil"/>
              <w:bottom w:val="single" w:color="auto" w:sz="4" w:space="0"/>
              <w:right w:val="single" w:color="auto" w:sz="4" w:space="0"/>
            </w:tcBorders>
            <w:vAlign w:val="center"/>
          </w:tcPr>
          <w:p w14:paraId="700020FB">
            <w:pPr>
              <w:widowControl/>
              <w:jc w:val="left"/>
              <w:rPr>
                <w:rFonts w:ascii="宋体" w:hAnsi="宋体" w:cs="宋体"/>
                <w:kern w:val="0"/>
                <w:sz w:val="18"/>
                <w:szCs w:val="18"/>
              </w:rPr>
            </w:pPr>
            <w:r>
              <w:rPr>
                <w:rFonts w:hint="eastAsia" w:ascii="宋体" w:hAnsi="宋体" w:cs="宋体"/>
                <w:kern w:val="0"/>
                <w:sz w:val="18"/>
                <w:szCs w:val="18"/>
              </w:rPr>
              <w:t>Y＜300</w:t>
            </w:r>
          </w:p>
        </w:tc>
      </w:tr>
      <w:tr w14:paraId="6493CE77">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156962B9">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580" w:type="dxa"/>
            <w:tcBorders>
              <w:top w:val="nil"/>
              <w:left w:val="nil"/>
              <w:bottom w:val="single" w:color="auto" w:sz="4" w:space="0"/>
              <w:right w:val="single" w:color="auto" w:sz="4" w:space="0"/>
            </w:tcBorders>
            <w:vAlign w:val="center"/>
          </w:tcPr>
          <w:p w14:paraId="45ECFA6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4AD4AFB3">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56F0D908">
            <w:pPr>
              <w:widowControl/>
              <w:jc w:val="left"/>
              <w:rPr>
                <w:rFonts w:ascii="宋体" w:hAnsi="宋体" w:cs="宋体"/>
                <w:kern w:val="0"/>
                <w:sz w:val="18"/>
                <w:szCs w:val="18"/>
              </w:rPr>
            </w:pPr>
            <w:r>
              <w:rPr>
                <w:rFonts w:hint="eastAsia" w:ascii="宋体" w:hAnsi="宋体" w:cs="宋体"/>
                <w:kern w:val="0"/>
                <w:sz w:val="18"/>
                <w:szCs w:val="18"/>
              </w:rPr>
              <w:t>6000≤Y＜80000</w:t>
            </w:r>
          </w:p>
        </w:tc>
        <w:tc>
          <w:tcPr>
            <w:tcW w:w="1498" w:type="dxa"/>
            <w:tcBorders>
              <w:top w:val="nil"/>
              <w:left w:val="nil"/>
              <w:bottom w:val="single" w:color="auto" w:sz="4" w:space="0"/>
              <w:right w:val="single" w:color="auto" w:sz="4" w:space="0"/>
            </w:tcBorders>
            <w:vAlign w:val="center"/>
          </w:tcPr>
          <w:p w14:paraId="6C1EB900">
            <w:pPr>
              <w:widowControl/>
              <w:jc w:val="left"/>
              <w:rPr>
                <w:rFonts w:ascii="宋体" w:hAnsi="宋体" w:cs="宋体"/>
                <w:kern w:val="0"/>
                <w:sz w:val="18"/>
                <w:szCs w:val="18"/>
              </w:rPr>
            </w:pPr>
            <w:r>
              <w:rPr>
                <w:rFonts w:hint="eastAsia" w:ascii="宋体" w:hAnsi="宋体" w:cs="宋体"/>
                <w:kern w:val="0"/>
                <w:sz w:val="18"/>
                <w:szCs w:val="18"/>
              </w:rPr>
              <w:t>300≤Y＜6000</w:t>
            </w:r>
          </w:p>
        </w:tc>
        <w:tc>
          <w:tcPr>
            <w:tcW w:w="1057" w:type="dxa"/>
            <w:tcBorders>
              <w:top w:val="nil"/>
              <w:left w:val="nil"/>
              <w:bottom w:val="single" w:color="auto" w:sz="4" w:space="0"/>
              <w:right w:val="single" w:color="auto" w:sz="4" w:space="0"/>
            </w:tcBorders>
            <w:vAlign w:val="center"/>
          </w:tcPr>
          <w:p w14:paraId="18BF840B">
            <w:pPr>
              <w:widowControl/>
              <w:jc w:val="left"/>
              <w:rPr>
                <w:rFonts w:ascii="宋体" w:hAnsi="宋体" w:cs="宋体"/>
                <w:kern w:val="0"/>
                <w:sz w:val="18"/>
                <w:szCs w:val="18"/>
              </w:rPr>
            </w:pPr>
            <w:r>
              <w:rPr>
                <w:rFonts w:hint="eastAsia" w:ascii="宋体" w:hAnsi="宋体" w:cs="宋体"/>
                <w:kern w:val="0"/>
                <w:sz w:val="18"/>
                <w:szCs w:val="18"/>
              </w:rPr>
              <w:t>Y＜300</w:t>
            </w:r>
          </w:p>
        </w:tc>
      </w:tr>
      <w:tr w14:paraId="7D051ABD">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34F93A2D">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37F4FCD1">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1224" w:type="dxa"/>
            <w:tcBorders>
              <w:top w:val="nil"/>
              <w:left w:val="nil"/>
              <w:bottom w:val="single" w:color="auto" w:sz="4" w:space="0"/>
              <w:right w:val="single" w:color="auto" w:sz="4" w:space="0"/>
            </w:tcBorders>
            <w:vAlign w:val="center"/>
          </w:tcPr>
          <w:p w14:paraId="74A1E516">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5DB5FDC8">
            <w:pPr>
              <w:widowControl/>
              <w:jc w:val="left"/>
              <w:rPr>
                <w:rFonts w:ascii="宋体" w:hAnsi="宋体" w:cs="宋体"/>
                <w:kern w:val="0"/>
                <w:sz w:val="18"/>
                <w:szCs w:val="18"/>
              </w:rPr>
            </w:pPr>
            <w:r>
              <w:rPr>
                <w:rFonts w:hint="eastAsia" w:ascii="宋体" w:hAnsi="宋体" w:cs="宋体"/>
                <w:kern w:val="0"/>
                <w:sz w:val="18"/>
                <w:szCs w:val="18"/>
              </w:rPr>
              <w:t>5000≤Z＜80000</w:t>
            </w:r>
          </w:p>
        </w:tc>
        <w:tc>
          <w:tcPr>
            <w:tcW w:w="1498" w:type="dxa"/>
            <w:tcBorders>
              <w:top w:val="nil"/>
              <w:left w:val="nil"/>
              <w:bottom w:val="single" w:color="auto" w:sz="4" w:space="0"/>
              <w:right w:val="single" w:color="auto" w:sz="4" w:space="0"/>
            </w:tcBorders>
            <w:vAlign w:val="center"/>
          </w:tcPr>
          <w:p w14:paraId="130FABBD">
            <w:pPr>
              <w:widowControl/>
              <w:jc w:val="left"/>
              <w:rPr>
                <w:rFonts w:ascii="宋体" w:hAnsi="宋体" w:cs="宋体"/>
                <w:kern w:val="0"/>
                <w:sz w:val="18"/>
                <w:szCs w:val="18"/>
              </w:rPr>
            </w:pPr>
            <w:r>
              <w:rPr>
                <w:rFonts w:hint="eastAsia" w:ascii="宋体" w:hAnsi="宋体" w:cs="宋体"/>
                <w:kern w:val="0"/>
                <w:sz w:val="18"/>
                <w:szCs w:val="18"/>
              </w:rPr>
              <w:t>300≤Z＜5000</w:t>
            </w:r>
          </w:p>
        </w:tc>
        <w:tc>
          <w:tcPr>
            <w:tcW w:w="1057" w:type="dxa"/>
            <w:tcBorders>
              <w:top w:val="nil"/>
              <w:left w:val="nil"/>
              <w:bottom w:val="single" w:color="auto" w:sz="4" w:space="0"/>
              <w:right w:val="single" w:color="auto" w:sz="4" w:space="0"/>
            </w:tcBorders>
            <w:vAlign w:val="center"/>
          </w:tcPr>
          <w:p w14:paraId="447C1BCE">
            <w:pPr>
              <w:widowControl/>
              <w:jc w:val="left"/>
              <w:rPr>
                <w:rFonts w:ascii="宋体" w:hAnsi="宋体" w:cs="宋体"/>
                <w:kern w:val="0"/>
                <w:sz w:val="18"/>
                <w:szCs w:val="18"/>
              </w:rPr>
            </w:pPr>
            <w:r>
              <w:rPr>
                <w:rFonts w:hint="eastAsia" w:ascii="宋体" w:hAnsi="宋体" w:cs="宋体"/>
                <w:kern w:val="0"/>
                <w:sz w:val="18"/>
                <w:szCs w:val="18"/>
              </w:rPr>
              <w:t>Z＜300</w:t>
            </w:r>
          </w:p>
        </w:tc>
      </w:tr>
      <w:tr w14:paraId="2AA957CD">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11394588">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580" w:type="dxa"/>
            <w:tcBorders>
              <w:top w:val="nil"/>
              <w:left w:val="nil"/>
              <w:bottom w:val="single" w:color="auto" w:sz="4" w:space="0"/>
              <w:right w:val="single" w:color="auto" w:sz="4" w:space="0"/>
            </w:tcBorders>
            <w:vAlign w:val="center"/>
          </w:tcPr>
          <w:p w14:paraId="2ED27B1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0A95C50A">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28111E4A">
            <w:pPr>
              <w:widowControl/>
              <w:jc w:val="left"/>
              <w:rPr>
                <w:rFonts w:ascii="宋体" w:hAnsi="宋体" w:cs="宋体"/>
                <w:kern w:val="0"/>
                <w:sz w:val="18"/>
                <w:szCs w:val="18"/>
              </w:rPr>
            </w:pPr>
            <w:r>
              <w:rPr>
                <w:rFonts w:hint="eastAsia" w:ascii="宋体" w:hAnsi="宋体" w:cs="宋体"/>
                <w:kern w:val="0"/>
                <w:sz w:val="18"/>
                <w:szCs w:val="18"/>
              </w:rPr>
              <w:t>20≤X＜200</w:t>
            </w:r>
          </w:p>
        </w:tc>
        <w:tc>
          <w:tcPr>
            <w:tcW w:w="1498" w:type="dxa"/>
            <w:tcBorders>
              <w:top w:val="nil"/>
              <w:left w:val="nil"/>
              <w:bottom w:val="single" w:color="auto" w:sz="4" w:space="0"/>
              <w:right w:val="single" w:color="auto" w:sz="4" w:space="0"/>
            </w:tcBorders>
            <w:vAlign w:val="center"/>
          </w:tcPr>
          <w:p w14:paraId="01F55306">
            <w:pPr>
              <w:widowControl/>
              <w:jc w:val="left"/>
              <w:rPr>
                <w:rFonts w:ascii="宋体" w:hAnsi="宋体" w:cs="宋体"/>
                <w:kern w:val="0"/>
                <w:sz w:val="18"/>
                <w:szCs w:val="18"/>
              </w:rPr>
            </w:pPr>
            <w:r>
              <w:rPr>
                <w:rFonts w:hint="eastAsia" w:ascii="宋体" w:hAnsi="宋体" w:cs="宋体"/>
                <w:kern w:val="0"/>
                <w:sz w:val="18"/>
                <w:szCs w:val="18"/>
              </w:rPr>
              <w:t>5≤X＜20</w:t>
            </w:r>
          </w:p>
        </w:tc>
        <w:tc>
          <w:tcPr>
            <w:tcW w:w="1057" w:type="dxa"/>
            <w:tcBorders>
              <w:top w:val="nil"/>
              <w:left w:val="nil"/>
              <w:bottom w:val="single" w:color="auto" w:sz="4" w:space="0"/>
              <w:right w:val="single" w:color="auto" w:sz="4" w:space="0"/>
            </w:tcBorders>
            <w:vAlign w:val="center"/>
          </w:tcPr>
          <w:p w14:paraId="018D0519">
            <w:pPr>
              <w:widowControl/>
              <w:jc w:val="left"/>
              <w:rPr>
                <w:rFonts w:ascii="宋体" w:hAnsi="宋体" w:cs="宋体"/>
                <w:kern w:val="0"/>
                <w:sz w:val="18"/>
                <w:szCs w:val="18"/>
              </w:rPr>
            </w:pPr>
            <w:r>
              <w:rPr>
                <w:rFonts w:hint="eastAsia" w:ascii="宋体" w:hAnsi="宋体" w:cs="宋体"/>
                <w:kern w:val="0"/>
                <w:sz w:val="18"/>
                <w:szCs w:val="18"/>
              </w:rPr>
              <w:t>X＜5</w:t>
            </w:r>
          </w:p>
        </w:tc>
      </w:tr>
      <w:tr w14:paraId="50E37D44">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420377A8">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44695843">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232BCB4F">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0E3D86B4">
            <w:pPr>
              <w:widowControl/>
              <w:jc w:val="left"/>
              <w:rPr>
                <w:rFonts w:ascii="宋体" w:hAnsi="宋体" w:cs="宋体"/>
                <w:kern w:val="0"/>
                <w:sz w:val="18"/>
                <w:szCs w:val="18"/>
              </w:rPr>
            </w:pPr>
            <w:r>
              <w:rPr>
                <w:rFonts w:hint="eastAsia" w:ascii="宋体" w:hAnsi="宋体" w:cs="宋体"/>
                <w:kern w:val="0"/>
                <w:sz w:val="18"/>
                <w:szCs w:val="18"/>
              </w:rPr>
              <w:t>5000≤Y＜40000</w:t>
            </w:r>
          </w:p>
        </w:tc>
        <w:tc>
          <w:tcPr>
            <w:tcW w:w="1498" w:type="dxa"/>
            <w:tcBorders>
              <w:top w:val="nil"/>
              <w:left w:val="nil"/>
              <w:bottom w:val="single" w:color="auto" w:sz="4" w:space="0"/>
              <w:right w:val="single" w:color="auto" w:sz="4" w:space="0"/>
            </w:tcBorders>
            <w:vAlign w:val="center"/>
          </w:tcPr>
          <w:p w14:paraId="1133C291">
            <w:pPr>
              <w:widowControl/>
              <w:jc w:val="left"/>
              <w:rPr>
                <w:rFonts w:ascii="宋体" w:hAnsi="宋体" w:cs="宋体"/>
                <w:kern w:val="0"/>
                <w:sz w:val="18"/>
                <w:szCs w:val="18"/>
              </w:rPr>
            </w:pPr>
            <w:r>
              <w:rPr>
                <w:rFonts w:hint="eastAsia" w:ascii="宋体" w:hAnsi="宋体" w:cs="宋体"/>
                <w:kern w:val="0"/>
                <w:sz w:val="18"/>
                <w:szCs w:val="18"/>
              </w:rPr>
              <w:t>1000≤Y＜5000</w:t>
            </w:r>
          </w:p>
        </w:tc>
        <w:tc>
          <w:tcPr>
            <w:tcW w:w="1057" w:type="dxa"/>
            <w:tcBorders>
              <w:top w:val="nil"/>
              <w:left w:val="nil"/>
              <w:bottom w:val="single" w:color="auto" w:sz="4" w:space="0"/>
              <w:right w:val="single" w:color="auto" w:sz="4" w:space="0"/>
            </w:tcBorders>
            <w:vAlign w:val="center"/>
          </w:tcPr>
          <w:p w14:paraId="61AC4E95">
            <w:pPr>
              <w:widowControl/>
              <w:jc w:val="left"/>
              <w:rPr>
                <w:rFonts w:ascii="宋体" w:hAnsi="宋体" w:cs="宋体"/>
                <w:kern w:val="0"/>
                <w:sz w:val="18"/>
                <w:szCs w:val="18"/>
              </w:rPr>
            </w:pPr>
            <w:r>
              <w:rPr>
                <w:rFonts w:hint="eastAsia" w:ascii="宋体" w:hAnsi="宋体" w:cs="宋体"/>
                <w:kern w:val="0"/>
                <w:sz w:val="18"/>
                <w:szCs w:val="18"/>
              </w:rPr>
              <w:t>Y＜1000</w:t>
            </w:r>
          </w:p>
        </w:tc>
      </w:tr>
      <w:tr w14:paraId="61CBDEDC">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068873AE">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580" w:type="dxa"/>
            <w:tcBorders>
              <w:top w:val="nil"/>
              <w:left w:val="nil"/>
              <w:bottom w:val="single" w:color="auto" w:sz="4" w:space="0"/>
              <w:right w:val="single" w:color="auto" w:sz="4" w:space="0"/>
            </w:tcBorders>
            <w:vAlign w:val="center"/>
          </w:tcPr>
          <w:p w14:paraId="574AFDD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3719DA11">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0AD29C8E">
            <w:pPr>
              <w:widowControl/>
              <w:jc w:val="left"/>
              <w:rPr>
                <w:rFonts w:ascii="宋体" w:hAnsi="宋体" w:cs="宋体"/>
                <w:kern w:val="0"/>
                <w:sz w:val="18"/>
                <w:szCs w:val="18"/>
              </w:rPr>
            </w:pPr>
            <w:r>
              <w:rPr>
                <w:rFonts w:hint="eastAsia" w:ascii="宋体" w:hAnsi="宋体" w:cs="宋体"/>
                <w:kern w:val="0"/>
                <w:sz w:val="18"/>
                <w:szCs w:val="18"/>
              </w:rPr>
              <w:t>50≤X＜300</w:t>
            </w:r>
          </w:p>
        </w:tc>
        <w:tc>
          <w:tcPr>
            <w:tcW w:w="1498" w:type="dxa"/>
            <w:tcBorders>
              <w:top w:val="nil"/>
              <w:left w:val="nil"/>
              <w:bottom w:val="single" w:color="auto" w:sz="4" w:space="0"/>
              <w:right w:val="single" w:color="auto" w:sz="4" w:space="0"/>
            </w:tcBorders>
            <w:vAlign w:val="center"/>
          </w:tcPr>
          <w:p w14:paraId="5FC18136">
            <w:pPr>
              <w:widowControl/>
              <w:jc w:val="left"/>
              <w:rPr>
                <w:rFonts w:ascii="宋体" w:hAnsi="宋体" w:cs="宋体"/>
                <w:kern w:val="0"/>
                <w:sz w:val="18"/>
                <w:szCs w:val="18"/>
              </w:rPr>
            </w:pPr>
            <w:r>
              <w:rPr>
                <w:rFonts w:hint="eastAsia" w:ascii="宋体" w:hAnsi="宋体" w:cs="宋体"/>
                <w:kern w:val="0"/>
                <w:sz w:val="18"/>
                <w:szCs w:val="18"/>
              </w:rPr>
              <w:t>10≤X＜50</w:t>
            </w:r>
          </w:p>
        </w:tc>
        <w:tc>
          <w:tcPr>
            <w:tcW w:w="1057" w:type="dxa"/>
            <w:tcBorders>
              <w:top w:val="nil"/>
              <w:left w:val="nil"/>
              <w:bottom w:val="single" w:color="auto" w:sz="4" w:space="0"/>
              <w:right w:val="single" w:color="auto" w:sz="4" w:space="0"/>
            </w:tcBorders>
            <w:vAlign w:val="center"/>
          </w:tcPr>
          <w:p w14:paraId="4D96B4B9">
            <w:pPr>
              <w:widowControl/>
              <w:jc w:val="left"/>
              <w:rPr>
                <w:rFonts w:ascii="宋体" w:hAnsi="宋体" w:cs="宋体"/>
                <w:kern w:val="0"/>
                <w:sz w:val="18"/>
                <w:szCs w:val="18"/>
              </w:rPr>
            </w:pPr>
            <w:r>
              <w:rPr>
                <w:rFonts w:hint="eastAsia" w:ascii="宋体" w:hAnsi="宋体" w:cs="宋体"/>
                <w:kern w:val="0"/>
                <w:sz w:val="18"/>
                <w:szCs w:val="18"/>
              </w:rPr>
              <w:t>X＜10</w:t>
            </w:r>
          </w:p>
        </w:tc>
      </w:tr>
      <w:tr w14:paraId="1751BB5A">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2F08BECE">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0AEABC8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06D77EB2">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198E1B36">
            <w:pPr>
              <w:widowControl/>
              <w:jc w:val="left"/>
              <w:rPr>
                <w:rFonts w:ascii="宋体" w:hAnsi="宋体" w:cs="宋体"/>
                <w:kern w:val="0"/>
                <w:sz w:val="18"/>
                <w:szCs w:val="18"/>
              </w:rPr>
            </w:pPr>
            <w:r>
              <w:rPr>
                <w:rFonts w:hint="eastAsia" w:ascii="宋体" w:hAnsi="宋体" w:cs="宋体"/>
                <w:kern w:val="0"/>
                <w:sz w:val="18"/>
                <w:szCs w:val="18"/>
              </w:rPr>
              <w:t>500≤Y＜20000</w:t>
            </w:r>
          </w:p>
        </w:tc>
        <w:tc>
          <w:tcPr>
            <w:tcW w:w="1498" w:type="dxa"/>
            <w:tcBorders>
              <w:top w:val="nil"/>
              <w:left w:val="nil"/>
              <w:bottom w:val="single" w:color="auto" w:sz="4" w:space="0"/>
              <w:right w:val="single" w:color="auto" w:sz="4" w:space="0"/>
            </w:tcBorders>
            <w:vAlign w:val="center"/>
          </w:tcPr>
          <w:p w14:paraId="5BCACB21">
            <w:pPr>
              <w:widowControl/>
              <w:jc w:val="left"/>
              <w:rPr>
                <w:rFonts w:ascii="宋体" w:hAnsi="宋体" w:cs="宋体"/>
                <w:kern w:val="0"/>
                <w:sz w:val="18"/>
                <w:szCs w:val="18"/>
              </w:rPr>
            </w:pPr>
            <w:r>
              <w:rPr>
                <w:rFonts w:hint="eastAsia" w:ascii="宋体" w:hAnsi="宋体" w:cs="宋体"/>
                <w:kern w:val="0"/>
                <w:sz w:val="18"/>
                <w:szCs w:val="18"/>
              </w:rPr>
              <w:t>100≤Y＜500</w:t>
            </w:r>
          </w:p>
        </w:tc>
        <w:tc>
          <w:tcPr>
            <w:tcW w:w="1057" w:type="dxa"/>
            <w:tcBorders>
              <w:top w:val="nil"/>
              <w:left w:val="nil"/>
              <w:bottom w:val="single" w:color="auto" w:sz="4" w:space="0"/>
              <w:right w:val="single" w:color="auto" w:sz="4" w:space="0"/>
            </w:tcBorders>
            <w:vAlign w:val="center"/>
          </w:tcPr>
          <w:p w14:paraId="58F4200C">
            <w:pPr>
              <w:widowControl/>
              <w:jc w:val="left"/>
              <w:rPr>
                <w:rFonts w:ascii="宋体" w:hAnsi="宋体" w:cs="宋体"/>
                <w:kern w:val="0"/>
                <w:sz w:val="18"/>
                <w:szCs w:val="18"/>
              </w:rPr>
            </w:pPr>
            <w:r>
              <w:rPr>
                <w:rFonts w:hint="eastAsia" w:ascii="宋体" w:hAnsi="宋体" w:cs="宋体"/>
                <w:kern w:val="0"/>
                <w:sz w:val="18"/>
                <w:szCs w:val="18"/>
              </w:rPr>
              <w:t>Y＜100</w:t>
            </w:r>
          </w:p>
        </w:tc>
      </w:tr>
      <w:tr w14:paraId="7B6F36F3">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60861BD2">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580" w:type="dxa"/>
            <w:tcBorders>
              <w:top w:val="nil"/>
              <w:left w:val="nil"/>
              <w:bottom w:val="single" w:color="auto" w:sz="4" w:space="0"/>
              <w:right w:val="single" w:color="auto" w:sz="4" w:space="0"/>
            </w:tcBorders>
            <w:vAlign w:val="center"/>
          </w:tcPr>
          <w:p w14:paraId="18F3403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2E107279">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3994084D">
            <w:pPr>
              <w:widowControl/>
              <w:jc w:val="left"/>
              <w:rPr>
                <w:rFonts w:ascii="宋体" w:hAnsi="宋体" w:cs="宋体"/>
                <w:kern w:val="0"/>
                <w:sz w:val="18"/>
                <w:szCs w:val="18"/>
              </w:rPr>
            </w:pPr>
            <w:r>
              <w:rPr>
                <w:rFonts w:hint="eastAsia" w:ascii="宋体" w:hAnsi="宋体" w:cs="宋体"/>
                <w:kern w:val="0"/>
                <w:sz w:val="18"/>
                <w:szCs w:val="18"/>
              </w:rPr>
              <w:t>300≤X＜1000</w:t>
            </w:r>
          </w:p>
        </w:tc>
        <w:tc>
          <w:tcPr>
            <w:tcW w:w="1498" w:type="dxa"/>
            <w:tcBorders>
              <w:top w:val="nil"/>
              <w:left w:val="nil"/>
              <w:bottom w:val="single" w:color="auto" w:sz="4" w:space="0"/>
              <w:right w:val="single" w:color="auto" w:sz="4" w:space="0"/>
            </w:tcBorders>
            <w:vAlign w:val="center"/>
          </w:tcPr>
          <w:p w14:paraId="3DA6BAD9">
            <w:pPr>
              <w:widowControl/>
              <w:jc w:val="left"/>
              <w:rPr>
                <w:rFonts w:ascii="宋体" w:hAnsi="宋体" w:cs="宋体"/>
                <w:kern w:val="0"/>
                <w:sz w:val="18"/>
                <w:szCs w:val="18"/>
              </w:rPr>
            </w:pPr>
            <w:r>
              <w:rPr>
                <w:rFonts w:hint="eastAsia" w:ascii="宋体" w:hAnsi="宋体" w:cs="宋体"/>
                <w:kern w:val="0"/>
                <w:sz w:val="18"/>
                <w:szCs w:val="18"/>
              </w:rPr>
              <w:t>20≤X＜300</w:t>
            </w:r>
          </w:p>
        </w:tc>
        <w:tc>
          <w:tcPr>
            <w:tcW w:w="1057" w:type="dxa"/>
            <w:tcBorders>
              <w:top w:val="nil"/>
              <w:left w:val="nil"/>
              <w:bottom w:val="single" w:color="auto" w:sz="4" w:space="0"/>
              <w:right w:val="single" w:color="auto" w:sz="4" w:space="0"/>
            </w:tcBorders>
            <w:vAlign w:val="center"/>
          </w:tcPr>
          <w:p w14:paraId="3E423612">
            <w:pPr>
              <w:widowControl/>
              <w:jc w:val="left"/>
              <w:rPr>
                <w:rFonts w:ascii="宋体" w:hAnsi="宋体" w:cs="宋体"/>
                <w:kern w:val="0"/>
                <w:sz w:val="18"/>
                <w:szCs w:val="18"/>
              </w:rPr>
            </w:pPr>
            <w:r>
              <w:rPr>
                <w:rFonts w:hint="eastAsia" w:ascii="宋体" w:hAnsi="宋体" w:cs="宋体"/>
                <w:kern w:val="0"/>
                <w:sz w:val="18"/>
                <w:szCs w:val="18"/>
              </w:rPr>
              <w:t>X＜20</w:t>
            </w:r>
          </w:p>
        </w:tc>
      </w:tr>
      <w:tr w14:paraId="6FE015F7">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42A6C298">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648E4DD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5E023757">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257F6362">
            <w:pPr>
              <w:widowControl/>
              <w:jc w:val="left"/>
              <w:rPr>
                <w:rFonts w:ascii="宋体" w:hAnsi="宋体" w:cs="宋体"/>
                <w:kern w:val="0"/>
                <w:sz w:val="18"/>
                <w:szCs w:val="18"/>
              </w:rPr>
            </w:pPr>
            <w:r>
              <w:rPr>
                <w:rFonts w:hint="eastAsia" w:ascii="宋体" w:hAnsi="宋体" w:cs="宋体"/>
                <w:kern w:val="0"/>
                <w:sz w:val="18"/>
                <w:szCs w:val="18"/>
              </w:rPr>
              <w:t>3000≤Y＜30000</w:t>
            </w:r>
          </w:p>
        </w:tc>
        <w:tc>
          <w:tcPr>
            <w:tcW w:w="1498" w:type="dxa"/>
            <w:tcBorders>
              <w:top w:val="nil"/>
              <w:left w:val="nil"/>
              <w:bottom w:val="single" w:color="auto" w:sz="4" w:space="0"/>
              <w:right w:val="single" w:color="auto" w:sz="4" w:space="0"/>
            </w:tcBorders>
            <w:vAlign w:val="center"/>
          </w:tcPr>
          <w:p w14:paraId="5F8140AA">
            <w:pPr>
              <w:widowControl/>
              <w:jc w:val="left"/>
              <w:rPr>
                <w:rFonts w:ascii="宋体" w:hAnsi="宋体" w:cs="宋体"/>
                <w:kern w:val="0"/>
                <w:sz w:val="18"/>
                <w:szCs w:val="18"/>
              </w:rPr>
            </w:pPr>
            <w:r>
              <w:rPr>
                <w:rFonts w:hint="eastAsia" w:ascii="宋体" w:hAnsi="宋体" w:cs="宋体"/>
                <w:kern w:val="0"/>
                <w:sz w:val="18"/>
                <w:szCs w:val="18"/>
              </w:rPr>
              <w:t>200≤Y＜3000</w:t>
            </w:r>
          </w:p>
        </w:tc>
        <w:tc>
          <w:tcPr>
            <w:tcW w:w="1057" w:type="dxa"/>
            <w:tcBorders>
              <w:top w:val="nil"/>
              <w:left w:val="nil"/>
              <w:bottom w:val="single" w:color="auto" w:sz="4" w:space="0"/>
              <w:right w:val="single" w:color="auto" w:sz="4" w:space="0"/>
            </w:tcBorders>
            <w:vAlign w:val="center"/>
          </w:tcPr>
          <w:p w14:paraId="43E35EB2">
            <w:pPr>
              <w:widowControl/>
              <w:jc w:val="left"/>
              <w:rPr>
                <w:rFonts w:ascii="宋体" w:hAnsi="宋体" w:cs="宋体"/>
                <w:kern w:val="0"/>
                <w:sz w:val="18"/>
                <w:szCs w:val="18"/>
              </w:rPr>
            </w:pPr>
            <w:r>
              <w:rPr>
                <w:rFonts w:hint="eastAsia" w:ascii="宋体" w:hAnsi="宋体" w:cs="宋体"/>
                <w:kern w:val="0"/>
                <w:sz w:val="18"/>
                <w:szCs w:val="18"/>
              </w:rPr>
              <w:t>Y＜200</w:t>
            </w:r>
          </w:p>
        </w:tc>
      </w:tr>
      <w:tr w14:paraId="16F430D7">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6C80514A">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580" w:type="dxa"/>
            <w:tcBorders>
              <w:top w:val="nil"/>
              <w:left w:val="nil"/>
              <w:bottom w:val="single" w:color="auto" w:sz="4" w:space="0"/>
              <w:right w:val="single" w:color="auto" w:sz="4" w:space="0"/>
            </w:tcBorders>
            <w:vAlign w:val="center"/>
          </w:tcPr>
          <w:p w14:paraId="272D4E74">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1E3FEF4B">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194E6AD8">
            <w:pPr>
              <w:widowControl/>
              <w:jc w:val="left"/>
              <w:rPr>
                <w:rFonts w:ascii="宋体" w:hAnsi="宋体" w:cs="宋体"/>
                <w:kern w:val="0"/>
                <w:sz w:val="18"/>
                <w:szCs w:val="18"/>
              </w:rPr>
            </w:pPr>
            <w:r>
              <w:rPr>
                <w:rFonts w:hint="eastAsia" w:ascii="宋体" w:hAnsi="宋体" w:cs="宋体"/>
                <w:kern w:val="0"/>
                <w:sz w:val="18"/>
                <w:szCs w:val="18"/>
              </w:rPr>
              <w:t>100≤X＜200</w:t>
            </w:r>
          </w:p>
        </w:tc>
        <w:tc>
          <w:tcPr>
            <w:tcW w:w="1498" w:type="dxa"/>
            <w:tcBorders>
              <w:top w:val="nil"/>
              <w:left w:val="nil"/>
              <w:bottom w:val="single" w:color="auto" w:sz="4" w:space="0"/>
              <w:right w:val="single" w:color="auto" w:sz="4" w:space="0"/>
            </w:tcBorders>
            <w:vAlign w:val="center"/>
          </w:tcPr>
          <w:p w14:paraId="4A39671F">
            <w:pPr>
              <w:widowControl/>
              <w:jc w:val="left"/>
              <w:rPr>
                <w:rFonts w:ascii="宋体" w:hAnsi="宋体" w:cs="宋体"/>
                <w:kern w:val="0"/>
                <w:sz w:val="18"/>
                <w:szCs w:val="18"/>
              </w:rPr>
            </w:pPr>
            <w:r>
              <w:rPr>
                <w:rFonts w:hint="eastAsia" w:ascii="宋体" w:hAnsi="宋体" w:cs="宋体"/>
                <w:kern w:val="0"/>
                <w:sz w:val="18"/>
                <w:szCs w:val="18"/>
              </w:rPr>
              <w:t>20≤X＜100</w:t>
            </w:r>
          </w:p>
        </w:tc>
        <w:tc>
          <w:tcPr>
            <w:tcW w:w="1057" w:type="dxa"/>
            <w:tcBorders>
              <w:top w:val="nil"/>
              <w:left w:val="nil"/>
              <w:bottom w:val="single" w:color="auto" w:sz="4" w:space="0"/>
              <w:right w:val="single" w:color="auto" w:sz="4" w:space="0"/>
            </w:tcBorders>
            <w:vAlign w:val="center"/>
          </w:tcPr>
          <w:p w14:paraId="338ECF06">
            <w:pPr>
              <w:widowControl/>
              <w:jc w:val="left"/>
              <w:rPr>
                <w:rFonts w:ascii="宋体" w:hAnsi="宋体" w:cs="宋体"/>
                <w:kern w:val="0"/>
                <w:sz w:val="18"/>
                <w:szCs w:val="18"/>
              </w:rPr>
            </w:pPr>
            <w:r>
              <w:rPr>
                <w:rFonts w:hint="eastAsia" w:ascii="宋体" w:hAnsi="宋体" w:cs="宋体"/>
                <w:kern w:val="0"/>
                <w:sz w:val="18"/>
                <w:szCs w:val="18"/>
              </w:rPr>
              <w:t>X＜20</w:t>
            </w:r>
          </w:p>
        </w:tc>
      </w:tr>
      <w:tr w14:paraId="17070881">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37466057">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07DDF16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55EBD2F2">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250E0511">
            <w:pPr>
              <w:widowControl/>
              <w:jc w:val="left"/>
              <w:rPr>
                <w:rFonts w:ascii="宋体" w:hAnsi="宋体" w:cs="宋体"/>
                <w:kern w:val="0"/>
                <w:sz w:val="18"/>
                <w:szCs w:val="18"/>
              </w:rPr>
            </w:pPr>
            <w:r>
              <w:rPr>
                <w:rFonts w:hint="eastAsia" w:ascii="宋体" w:hAnsi="宋体" w:cs="宋体"/>
                <w:kern w:val="0"/>
                <w:sz w:val="18"/>
                <w:szCs w:val="18"/>
              </w:rPr>
              <w:t>1000≤Y＜30000</w:t>
            </w:r>
          </w:p>
        </w:tc>
        <w:tc>
          <w:tcPr>
            <w:tcW w:w="1498" w:type="dxa"/>
            <w:tcBorders>
              <w:top w:val="nil"/>
              <w:left w:val="nil"/>
              <w:bottom w:val="single" w:color="auto" w:sz="4" w:space="0"/>
              <w:right w:val="single" w:color="auto" w:sz="4" w:space="0"/>
            </w:tcBorders>
            <w:vAlign w:val="center"/>
          </w:tcPr>
          <w:p w14:paraId="2CD24C34">
            <w:pPr>
              <w:widowControl/>
              <w:jc w:val="left"/>
              <w:rPr>
                <w:rFonts w:ascii="宋体" w:hAnsi="宋体" w:cs="宋体"/>
                <w:kern w:val="0"/>
                <w:sz w:val="18"/>
                <w:szCs w:val="18"/>
              </w:rPr>
            </w:pPr>
            <w:r>
              <w:rPr>
                <w:rFonts w:hint="eastAsia" w:ascii="宋体" w:hAnsi="宋体" w:cs="宋体"/>
                <w:kern w:val="0"/>
                <w:sz w:val="18"/>
                <w:szCs w:val="18"/>
              </w:rPr>
              <w:t>100≤Y＜1000</w:t>
            </w:r>
          </w:p>
        </w:tc>
        <w:tc>
          <w:tcPr>
            <w:tcW w:w="1057" w:type="dxa"/>
            <w:tcBorders>
              <w:top w:val="nil"/>
              <w:left w:val="nil"/>
              <w:bottom w:val="single" w:color="auto" w:sz="4" w:space="0"/>
              <w:right w:val="single" w:color="auto" w:sz="4" w:space="0"/>
            </w:tcBorders>
            <w:vAlign w:val="center"/>
          </w:tcPr>
          <w:p w14:paraId="40662B9C">
            <w:pPr>
              <w:widowControl/>
              <w:jc w:val="left"/>
              <w:rPr>
                <w:rFonts w:ascii="宋体" w:hAnsi="宋体" w:cs="宋体"/>
                <w:kern w:val="0"/>
                <w:sz w:val="18"/>
                <w:szCs w:val="18"/>
              </w:rPr>
            </w:pPr>
            <w:r>
              <w:rPr>
                <w:rFonts w:hint="eastAsia" w:ascii="宋体" w:hAnsi="宋体" w:cs="宋体"/>
                <w:kern w:val="0"/>
                <w:sz w:val="18"/>
                <w:szCs w:val="18"/>
              </w:rPr>
              <w:t>Y＜100</w:t>
            </w:r>
          </w:p>
        </w:tc>
      </w:tr>
      <w:tr w14:paraId="09F51892">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14C43974">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580" w:type="dxa"/>
            <w:tcBorders>
              <w:top w:val="nil"/>
              <w:left w:val="nil"/>
              <w:bottom w:val="single" w:color="auto" w:sz="4" w:space="0"/>
              <w:right w:val="single" w:color="auto" w:sz="4" w:space="0"/>
            </w:tcBorders>
            <w:vAlign w:val="center"/>
          </w:tcPr>
          <w:p w14:paraId="30E1719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79C0311F">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270CA14D">
            <w:pPr>
              <w:widowControl/>
              <w:jc w:val="left"/>
              <w:rPr>
                <w:rFonts w:ascii="宋体" w:hAnsi="宋体" w:cs="宋体"/>
                <w:kern w:val="0"/>
                <w:sz w:val="18"/>
                <w:szCs w:val="18"/>
              </w:rPr>
            </w:pPr>
            <w:r>
              <w:rPr>
                <w:rFonts w:hint="eastAsia" w:ascii="宋体" w:hAnsi="宋体" w:cs="宋体"/>
                <w:kern w:val="0"/>
                <w:sz w:val="18"/>
                <w:szCs w:val="18"/>
              </w:rPr>
              <w:t>300≤X＜1000</w:t>
            </w:r>
          </w:p>
        </w:tc>
        <w:tc>
          <w:tcPr>
            <w:tcW w:w="1498" w:type="dxa"/>
            <w:tcBorders>
              <w:top w:val="nil"/>
              <w:left w:val="nil"/>
              <w:bottom w:val="single" w:color="auto" w:sz="4" w:space="0"/>
              <w:right w:val="single" w:color="auto" w:sz="4" w:space="0"/>
            </w:tcBorders>
            <w:vAlign w:val="center"/>
          </w:tcPr>
          <w:p w14:paraId="66A53B47">
            <w:pPr>
              <w:widowControl/>
              <w:jc w:val="left"/>
              <w:rPr>
                <w:rFonts w:ascii="宋体" w:hAnsi="宋体" w:cs="宋体"/>
                <w:kern w:val="0"/>
                <w:sz w:val="18"/>
                <w:szCs w:val="18"/>
              </w:rPr>
            </w:pPr>
            <w:r>
              <w:rPr>
                <w:rFonts w:hint="eastAsia" w:ascii="宋体" w:hAnsi="宋体" w:cs="宋体"/>
                <w:kern w:val="0"/>
                <w:sz w:val="18"/>
                <w:szCs w:val="18"/>
              </w:rPr>
              <w:t>20≤X＜300</w:t>
            </w:r>
          </w:p>
        </w:tc>
        <w:tc>
          <w:tcPr>
            <w:tcW w:w="1057" w:type="dxa"/>
            <w:tcBorders>
              <w:top w:val="nil"/>
              <w:left w:val="nil"/>
              <w:bottom w:val="single" w:color="auto" w:sz="4" w:space="0"/>
              <w:right w:val="single" w:color="auto" w:sz="4" w:space="0"/>
            </w:tcBorders>
            <w:vAlign w:val="center"/>
          </w:tcPr>
          <w:p w14:paraId="22012161">
            <w:pPr>
              <w:widowControl/>
              <w:jc w:val="left"/>
              <w:rPr>
                <w:rFonts w:ascii="宋体" w:hAnsi="宋体" w:cs="宋体"/>
                <w:kern w:val="0"/>
                <w:sz w:val="18"/>
                <w:szCs w:val="18"/>
              </w:rPr>
            </w:pPr>
            <w:r>
              <w:rPr>
                <w:rFonts w:hint="eastAsia" w:ascii="宋体" w:hAnsi="宋体" w:cs="宋体"/>
                <w:kern w:val="0"/>
                <w:sz w:val="18"/>
                <w:szCs w:val="18"/>
              </w:rPr>
              <w:t>X＜20</w:t>
            </w:r>
          </w:p>
        </w:tc>
      </w:tr>
      <w:tr w14:paraId="459FF9C6">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4510D8EB">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0A6E7E5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44BA9FAF">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0A556885">
            <w:pPr>
              <w:widowControl/>
              <w:jc w:val="left"/>
              <w:rPr>
                <w:rFonts w:ascii="宋体" w:hAnsi="宋体" w:cs="宋体"/>
                <w:kern w:val="0"/>
                <w:sz w:val="18"/>
                <w:szCs w:val="18"/>
              </w:rPr>
            </w:pPr>
            <w:r>
              <w:rPr>
                <w:rFonts w:hint="eastAsia" w:ascii="宋体" w:hAnsi="宋体" w:cs="宋体"/>
                <w:kern w:val="0"/>
                <w:sz w:val="18"/>
                <w:szCs w:val="18"/>
              </w:rPr>
              <w:t>2000≤Y＜30000</w:t>
            </w:r>
          </w:p>
        </w:tc>
        <w:tc>
          <w:tcPr>
            <w:tcW w:w="1498" w:type="dxa"/>
            <w:tcBorders>
              <w:top w:val="nil"/>
              <w:left w:val="nil"/>
              <w:bottom w:val="single" w:color="auto" w:sz="4" w:space="0"/>
              <w:right w:val="single" w:color="auto" w:sz="4" w:space="0"/>
            </w:tcBorders>
            <w:vAlign w:val="center"/>
          </w:tcPr>
          <w:p w14:paraId="33BCA3D0">
            <w:pPr>
              <w:widowControl/>
              <w:jc w:val="left"/>
              <w:rPr>
                <w:rFonts w:ascii="宋体" w:hAnsi="宋体" w:cs="宋体"/>
                <w:kern w:val="0"/>
                <w:sz w:val="18"/>
                <w:szCs w:val="18"/>
              </w:rPr>
            </w:pPr>
            <w:r>
              <w:rPr>
                <w:rFonts w:hint="eastAsia" w:ascii="宋体" w:hAnsi="宋体" w:cs="宋体"/>
                <w:kern w:val="0"/>
                <w:sz w:val="18"/>
                <w:szCs w:val="18"/>
              </w:rPr>
              <w:t>100≤Y＜2000</w:t>
            </w:r>
          </w:p>
        </w:tc>
        <w:tc>
          <w:tcPr>
            <w:tcW w:w="1057" w:type="dxa"/>
            <w:tcBorders>
              <w:top w:val="nil"/>
              <w:left w:val="nil"/>
              <w:bottom w:val="single" w:color="auto" w:sz="4" w:space="0"/>
              <w:right w:val="single" w:color="auto" w:sz="4" w:space="0"/>
            </w:tcBorders>
            <w:vAlign w:val="center"/>
          </w:tcPr>
          <w:p w14:paraId="7B1BAF75">
            <w:pPr>
              <w:widowControl/>
              <w:jc w:val="left"/>
              <w:rPr>
                <w:rFonts w:ascii="宋体" w:hAnsi="宋体" w:cs="宋体"/>
                <w:kern w:val="0"/>
                <w:sz w:val="18"/>
                <w:szCs w:val="18"/>
              </w:rPr>
            </w:pPr>
            <w:r>
              <w:rPr>
                <w:rFonts w:hint="eastAsia" w:ascii="宋体" w:hAnsi="宋体" w:cs="宋体"/>
                <w:kern w:val="0"/>
                <w:sz w:val="18"/>
                <w:szCs w:val="18"/>
              </w:rPr>
              <w:t>Y＜100</w:t>
            </w:r>
          </w:p>
        </w:tc>
      </w:tr>
      <w:tr w14:paraId="54111759">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0D78A4D2">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580" w:type="dxa"/>
            <w:tcBorders>
              <w:top w:val="nil"/>
              <w:left w:val="nil"/>
              <w:bottom w:val="single" w:color="auto" w:sz="4" w:space="0"/>
              <w:right w:val="single" w:color="auto" w:sz="4" w:space="0"/>
            </w:tcBorders>
            <w:vAlign w:val="center"/>
          </w:tcPr>
          <w:p w14:paraId="4DFA876A">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3C74CC58">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6B156FD8">
            <w:pPr>
              <w:widowControl/>
              <w:jc w:val="left"/>
              <w:rPr>
                <w:rFonts w:ascii="宋体" w:hAnsi="宋体" w:cs="宋体"/>
                <w:kern w:val="0"/>
                <w:sz w:val="18"/>
                <w:szCs w:val="18"/>
              </w:rPr>
            </w:pPr>
            <w:r>
              <w:rPr>
                <w:rFonts w:hint="eastAsia" w:ascii="宋体" w:hAnsi="宋体" w:cs="宋体"/>
                <w:kern w:val="0"/>
                <w:sz w:val="18"/>
                <w:szCs w:val="18"/>
              </w:rPr>
              <w:t>100≤X＜300</w:t>
            </w:r>
          </w:p>
        </w:tc>
        <w:tc>
          <w:tcPr>
            <w:tcW w:w="1498" w:type="dxa"/>
            <w:tcBorders>
              <w:top w:val="nil"/>
              <w:left w:val="nil"/>
              <w:bottom w:val="single" w:color="auto" w:sz="4" w:space="0"/>
              <w:right w:val="single" w:color="auto" w:sz="4" w:space="0"/>
            </w:tcBorders>
            <w:vAlign w:val="center"/>
          </w:tcPr>
          <w:p w14:paraId="2813A684">
            <w:pPr>
              <w:widowControl/>
              <w:jc w:val="left"/>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7C59E114">
            <w:pPr>
              <w:widowControl/>
              <w:jc w:val="left"/>
              <w:rPr>
                <w:rFonts w:ascii="宋体" w:hAnsi="宋体" w:cs="宋体"/>
                <w:kern w:val="0"/>
                <w:sz w:val="18"/>
                <w:szCs w:val="18"/>
              </w:rPr>
            </w:pPr>
            <w:r>
              <w:rPr>
                <w:rFonts w:hint="eastAsia" w:ascii="宋体" w:hAnsi="宋体" w:cs="宋体"/>
                <w:kern w:val="0"/>
                <w:sz w:val="18"/>
                <w:szCs w:val="18"/>
              </w:rPr>
              <w:t>X＜10</w:t>
            </w:r>
          </w:p>
        </w:tc>
      </w:tr>
      <w:tr w14:paraId="5A01E470">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6AD8826B">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5D52363E">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08B0EF26">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1B2C8F0E">
            <w:pPr>
              <w:widowControl/>
              <w:jc w:val="left"/>
              <w:rPr>
                <w:rFonts w:ascii="宋体" w:hAnsi="宋体" w:cs="宋体"/>
                <w:kern w:val="0"/>
                <w:sz w:val="18"/>
                <w:szCs w:val="18"/>
              </w:rPr>
            </w:pPr>
            <w:r>
              <w:rPr>
                <w:rFonts w:hint="eastAsia" w:ascii="宋体" w:hAnsi="宋体" w:cs="宋体"/>
                <w:kern w:val="0"/>
                <w:sz w:val="18"/>
                <w:szCs w:val="18"/>
              </w:rPr>
              <w:t>2000≤Y＜10000</w:t>
            </w:r>
          </w:p>
        </w:tc>
        <w:tc>
          <w:tcPr>
            <w:tcW w:w="1498" w:type="dxa"/>
            <w:tcBorders>
              <w:top w:val="nil"/>
              <w:left w:val="nil"/>
              <w:bottom w:val="single" w:color="auto" w:sz="4" w:space="0"/>
              <w:right w:val="single" w:color="auto" w:sz="4" w:space="0"/>
            </w:tcBorders>
            <w:vAlign w:val="center"/>
          </w:tcPr>
          <w:p w14:paraId="15E92AC5">
            <w:pPr>
              <w:widowControl/>
              <w:jc w:val="left"/>
              <w:rPr>
                <w:rFonts w:ascii="宋体" w:hAnsi="宋体" w:cs="宋体"/>
                <w:kern w:val="0"/>
                <w:sz w:val="18"/>
                <w:szCs w:val="18"/>
              </w:rPr>
            </w:pPr>
            <w:r>
              <w:rPr>
                <w:rFonts w:hint="eastAsia" w:ascii="宋体" w:hAnsi="宋体" w:cs="宋体"/>
                <w:kern w:val="0"/>
                <w:sz w:val="18"/>
                <w:szCs w:val="18"/>
              </w:rPr>
              <w:t>100≤Y＜2000</w:t>
            </w:r>
          </w:p>
        </w:tc>
        <w:tc>
          <w:tcPr>
            <w:tcW w:w="1057" w:type="dxa"/>
            <w:tcBorders>
              <w:top w:val="nil"/>
              <w:left w:val="nil"/>
              <w:bottom w:val="single" w:color="auto" w:sz="4" w:space="0"/>
              <w:right w:val="single" w:color="auto" w:sz="4" w:space="0"/>
            </w:tcBorders>
            <w:vAlign w:val="center"/>
          </w:tcPr>
          <w:p w14:paraId="60EA5E59">
            <w:pPr>
              <w:widowControl/>
              <w:jc w:val="left"/>
              <w:rPr>
                <w:rFonts w:ascii="宋体" w:hAnsi="宋体" w:cs="宋体"/>
                <w:kern w:val="0"/>
                <w:sz w:val="18"/>
                <w:szCs w:val="18"/>
              </w:rPr>
            </w:pPr>
            <w:r>
              <w:rPr>
                <w:rFonts w:hint="eastAsia" w:ascii="宋体" w:hAnsi="宋体" w:cs="宋体"/>
                <w:kern w:val="0"/>
                <w:sz w:val="18"/>
                <w:szCs w:val="18"/>
              </w:rPr>
              <w:t>Y＜100</w:t>
            </w:r>
          </w:p>
        </w:tc>
      </w:tr>
      <w:tr w14:paraId="3E6C6024">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71ACED62">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580" w:type="dxa"/>
            <w:tcBorders>
              <w:top w:val="nil"/>
              <w:left w:val="nil"/>
              <w:bottom w:val="single" w:color="auto" w:sz="4" w:space="0"/>
              <w:right w:val="single" w:color="auto" w:sz="4" w:space="0"/>
            </w:tcBorders>
            <w:vAlign w:val="center"/>
          </w:tcPr>
          <w:p w14:paraId="116E7EA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77F95667">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4EFBDBC6">
            <w:pPr>
              <w:widowControl/>
              <w:jc w:val="left"/>
              <w:rPr>
                <w:rFonts w:ascii="宋体" w:hAnsi="宋体" w:cs="宋体"/>
                <w:kern w:val="0"/>
                <w:sz w:val="18"/>
                <w:szCs w:val="18"/>
              </w:rPr>
            </w:pPr>
            <w:r>
              <w:rPr>
                <w:rFonts w:hint="eastAsia" w:ascii="宋体" w:hAnsi="宋体" w:cs="宋体"/>
                <w:kern w:val="0"/>
                <w:sz w:val="18"/>
                <w:szCs w:val="18"/>
              </w:rPr>
              <w:t>100≤X＜300</w:t>
            </w:r>
          </w:p>
        </w:tc>
        <w:tc>
          <w:tcPr>
            <w:tcW w:w="1498" w:type="dxa"/>
            <w:tcBorders>
              <w:top w:val="nil"/>
              <w:left w:val="nil"/>
              <w:bottom w:val="single" w:color="auto" w:sz="4" w:space="0"/>
              <w:right w:val="single" w:color="auto" w:sz="4" w:space="0"/>
            </w:tcBorders>
            <w:vAlign w:val="center"/>
          </w:tcPr>
          <w:p w14:paraId="53B16799">
            <w:pPr>
              <w:widowControl/>
              <w:jc w:val="left"/>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1713AD47">
            <w:pPr>
              <w:widowControl/>
              <w:jc w:val="left"/>
              <w:rPr>
                <w:rFonts w:ascii="宋体" w:hAnsi="宋体" w:cs="宋体"/>
                <w:kern w:val="0"/>
                <w:sz w:val="18"/>
                <w:szCs w:val="18"/>
              </w:rPr>
            </w:pPr>
            <w:r>
              <w:rPr>
                <w:rFonts w:hint="eastAsia" w:ascii="宋体" w:hAnsi="宋体" w:cs="宋体"/>
                <w:kern w:val="0"/>
                <w:sz w:val="18"/>
                <w:szCs w:val="18"/>
              </w:rPr>
              <w:t>X＜10</w:t>
            </w:r>
          </w:p>
        </w:tc>
      </w:tr>
      <w:tr w14:paraId="06153F3C">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7AD7D81E">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045DDB6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21A0BC93">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4B7E2633">
            <w:pPr>
              <w:widowControl/>
              <w:jc w:val="left"/>
              <w:rPr>
                <w:rFonts w:ascii="宋体" w:hAnsi="宋体" w:cs="宋体"/>
                <w:kern w:val="0"/>
                <w:sz w:val="18"/>
                <w:szCs w:val="18"/>
              </w:rPr>
            </w:pPr>
            <w:r>
              <w:rPr>
                <w:rFonts w:hint="eastAsia" w:ascii="宋体" w:hAnsi="宋体" w:cs="宋体"/>
                <w:kern w:val="0"/>
                <w:sz w:val="18"/>
                <w:szCs w:val="18"/>
              </w:rPr>
              <w:t>2000≤Y＜10000</w:t>
            </w:r>
          </w:p>
        </w:tc>
        <w:tc>
          <w:tcPr>
            <w:tcW w:w="1498" w:type="dxa"/>
            <w:tcBorders>
              <w:top w:val="nil"/>
              <w:left w:val="nil"/>
              <w:bottom w:val="single" w:color="auto" w:sz="4" w:space="0"/>
              <w:right w:val="single" w:color="auto" w:sz="4" w:space="0"/>
            </w:tcBorders>
            <w:vAlign w:val="center"/>
          </w:tcPr>
          <w:p w14:paraId="004F2766">
            <w:pPr>
              <w:widowControl/>
              <w:jc w:val="left"/>
              <w:rPr>
                <w:rFonts w:ascii="宋体" w:hAnsi="宋体" w:cs="宋体"/>
                <w:kern w:val="0"/>
                <w:sz w:val="18"/>
                <w:szCs w:val="18"/>
              </w:rPr>
            </w:pPr>
            <w:r>
              <w:rPr>
                <w:rFonts w:hint="eastAsia" w:ascii="宋体" w:hAnsi="宋体" w:cs="宋体"/>
                <w:kern w:val="0"/>
                <w:sz w:val="18"/>
                <w:szCs w:val="18"/>
              </w:rPr>
              <w:t>100≤Y＜2000</w:t>
            </w:r>
          </w:p>
        </w:tc>
        <w:tc>
          <w:tcPr>
            <w:tcW w:w="1057" w:type="dxa"/>
            <w:tcBorders>
              <w:top w:val="nil"/>
              <w:left w:val="nil"/>
              <w:bottom w:val="single" w:color="auto" w:sz="4" w:space="0"/>
              <w:right w:val="single" w:color="auto" w:sz="4" w:space="0"/>
            </w:tcBorders>
            <w:vAlign w:val="center"/>
          </w:tcPr>
          <w:p w14:paraId="45105670">
            <w:pPr>
              <w:widowControl/>
              <w:jc w:val="left"/>
              <w:rPr>
                <w:rFonts w:ascii="宋体" w:hAnsi="宋体" w:cs="宋体"/>
                <w:kern w:val="0"/>
                <w:sz w:val="18"/>
                <w:szCs w:val="18"/>
              </w:rPr>
            </w:pPr>
            <w:r>
              <w:rPr>
                <w:rFonts w:hint="eastAsia" w:ascii="宋体" w:hAnsi="宋体" w:cs="宋体"/>
                <w:kern w:val="0"/>
                <w:sz w:val="18"/>
                <w:szCs w:val="18"/>
              </w:rPr>
              <w:t>Y＜100</w:t>
            </w:r>
          </w:p>
        </w:tc>
      </w:tr>
      <w:tr w14:paraId="18A80C08">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26B9D179">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580" w:type="dxa"/>
            <w:tcBorders>
              <w:top w:val="nil"/>
              <w:left w:val="nil"/>
              <w:bottom w:val="single" w:color="auto" w:sz="4" w:space="0"/>
              <w:right w:val="single" w:color="auto" w:sz="4" w:space="0"/>
            </w:tcBorders>
            <w:vAlign w:val="center"/>
          </w:tcPr>
          <w:p w14:paraId="088891BA">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3EF1E6E2">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0F6AAC0F">
            <w:pPr>
              <w:widowControl/>
              <w:jc w:val="left"/>
              <w:rPr>
                <w:rFonts w:ascii="宋体" w:hAnsi="宋体" w:cs="宋体"/>
                <w:kern w:val="0"/>
                <w:sz w:val="18"/>
                <w:szCs w:val="18"/>
              </w:rPr>
            </w:pPr>
            <w:r>
              <w:rPr>
                <w:rFonts w:hint="eastAsia" w:ascii="宋体" w:hAnsi="宋体" w:cs="宋体"/>
                <w:kern w:val="0"/>
                <w:sz w:val="18"/>
                <w:szCs w:val="18"/>
              </w:rPr>
              <w:t>100≤X＜2000</w:t>
            </w:r>
          </w:p>
        </w:tc>
        <w:tc>
          <w:tcPr>
            <w:tcW w:w="1498" w:type="dxa"/>
            <w:tcBorders>
              <w:top w:val="nil"/>
              <w:left w:val="nil"/>
              <w:bottom w:val="single" w:color="auto" w:sz="4" w:space="0"/>
              <w:right w:val="single" w:color="auto" w:sz="4" w:space="0"/>
            </w:tcBorders>
            <w:vAlign w:val="center"/>
          </w:tcPr>
          <w:p w14:paraId="66A17377">
            <w:pPr>
              <w:widowControl/>
              <w:jc w:val="left"/>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75746DC3">
            <w:pPr>
              <w:widowControl/>
              <w:jc w:val="left"/>
              <w:rPr>
                <w:rFonts w:ascii="宋体" w:hAnsi="宋体" w:cs="宋体"/>
                <w:kern w:val="0"/>
                <w:sz w:val="18"/>
                <w:szCs w:val="18"/>
              </w:rPr>
            </w:pPr>
            <w:r>
              <w:rPr>
                <w:rFonts w:hint="eastAsia" w:ascii="宋体" w:hAnsi="宋体" w:cs="宋体"/>
                <w:kern w:val="0"/>
                <w:sz w:val="18"/>
                <w:szCs w:val="18"/>
              </w:rPr>
              <w:t>X＜10</w:t>
            </w:r>
          </w:p>
        </w:tc>
      </w:tr>
      <w:tr w14:paraId="10FE2D99">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2AF101C4">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1CAB980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11A550A0">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0CBA2261">
            <w:pPr>
              <w:widowControl/>
              <w:jc w:val="left"/>
              <w:rPr>
                <w:rFonts w:ascii="宋体" w:hAnsi="宋体" w:cs="宋体"/>
                <w:kern w:val="0"/>
                <w:sz w:val="18"/>
                <w:szCs w:val="18"/>
              </w:rPr>
            </w:pPr>
            <w:r>
              <w:rPr>
                <w:rFonts w:hint="eastAsia" w:ascii="宋体" w:hAnsi="宋体" w:cs="宋体"/>
                <w:kern w:val="0"/>
                <w:sz w:val="18"/>
                <w:szCs w:val="18"/>
              </w:rPr>
              <w:t>1000≤Y＜100000</w:t>
            </w:r>
          </w:p>
        </w:tc>
        <w:tc>
          <w:tcPr>
            <w:tcW w:w="1498" w:type="dxa"/>
            <w:tcBorders>
              <w:top w:val="nil"/>
              <w:left w:val="nil"/>
              <w:bottom w:val="single" w:color="auto" w:sz="4" w:space="0"/>
              <w:right w:val="single" w:color="auto" w:sz="4" w:space="0"/>
            </w:tcBorders>
            <w:vAlign w:val="center"/>
          </w:tcPr>
          <w:p w14:paraId="74AEDD29">
            <w:pPr>
              <w:widowControl/>
              <w:jc w:val="left"/>
              <w:rPr>
                <w:rFonts w:ascii="宋体" w:hAnsi="宋体" w:cs="宋体"/>
                <w:kern w:val="0"/>
                <w:sz w:val="18"/>
                <w:szCs w:val="18"/>
              </w:rPr>
            </w:pPr>
            <w:r>
              <w:rPr>
                <w:rFonts w:hint="eastAsia" w:ascii="宋体" w:hAnsi="宋体" w:cs="宋体"/>
                <w:kern w:val="0"/>
                <w:sz w:val="18"/>
                <w:szCs w:val="18"/>
              </w:rPr>
              <w:t>100≤Y＜1000</w:t>
            </w:r>
          </w:p>
        </w:tc>
        <w:tc>
          <w:tcPr>
            <w:tcW w:w="1057" w:type="dxa"/>
            <w:tcBorders>
              <w:top w:val="nil"/>
              <w:left w:val="nil"/>
              <w:bottom w:val="single" w:color="auto" w:sz="4" w:space="0"/>
              <w:right w:val="single" w:color="auto" w:sz="4" w:space="0"/>
            </w:tcBorders>
            <w:vAlign w:val="center"/>
          </w:tcPr>
          <w:p w14:paraId="68B9B66C">
            <w:pPr>
              <w:widowControl/>
              <w:jc w:val="left"/>
              <w:rPr>
                <w:rFonts w:ascii="宋体" w:hAnsi="宋体" w:cs="宋体"/>
                <w:kern w:val="0"/>
                <w:sz w:val="18"/>
                <w:szCs w:val="18"/>
              </w:rPr>
            </w:pPr>
            <w:r>
              <w:rPr>
                <w:rFonts w:hint="eastAsia" w:ascii="宋体" w:hAnsi="宋体" w:cs="宋体"/>
                <w:kern w:val="0"/>
                <w:sz w:val="18"/>
                <w:szCs w:val="18"/>
              </w:rPr>
              <w:t>Y＜100</w:t>
            </w:r>
          </w:p>
        </w:tc>
      </w:tr>
      <w:tr w14:paraId="0B759A40">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5CDEF3B3">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580" w:type="dxa"/>
            <w:tcBorders>
              <w:top w:val="nil"/>
              <w:left w:val="nil"/>
              <w:bottom w:val="single" w:color="auto" w:sz="4" w:space="0"/>
              <w:right w:val="single" w:color="auto" w:sz="4" w:space="0"/>
            </w:tcBorders>
            <w:vAlign w:val="center"/>
          </w:tcPr>
          <w:p w14:paraId="3CA6C0D4">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7C3C2439">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338D25BC">
            <w:pPr>
              <w:widowControl/>
              <w:jc w:val="left"/>
              <w:rPr>
                <w:rFonts w:ascii="宋体" w:hAnsi="宋体" w:cs="宋体"/>
                <w:kern w:val="0"/>
                <w:sz w:val="18"/>
                <w:szCs w:val="18"/>
              </w:rPr>
            </w:pPr>
            <w:r>
              <w:rPr>
                <w:rFonts w:hint="eastAsia" w:ascii="宋体" w:hAnsi="宋体" w:cs="宋体"/>
                <w:kern w:val="0"/>
                <w:sz w:val="18"/>
                <w:szCs w:val="18"/>
              </w:rPr>
              <w:t>100≤X＜300</w:t>
            </w:r>
          </w:p>
        </w:tc>
        <w:tc>
          <w:tcPr>
            <w:tcW w:w="1498" w:type="dxa"/>
            <w:tcBorders>
              <w:top w:val="nil"/>
              <w:left w:val="nil"/>
              <w:bottom w:val="single" w:color="auto" w:sz="4" w:space="0"/>
              <w:right w:val="single" w:color="auto" w:sz="4" w:space="0"/>
            </w:tcBorders>
            <w:vAlign w:val="center"/>
          </w:tcPr>
          <w:p w14:paraId="3177BEB9">
            <w:pPr>
              <w:widowControl/>
              <w:jc w:val="left"/>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635E6694">
            <w:pPr>
              <w:widowControl/>
              <w:jc w:val="left"/>
              <w:rPr>
                <w:rFonts w:ascii="宋体" w:hAnsi="宋体" w:cs="宋体"/>
                <w:kern w:val="0"/>
                <w:sz w:val="18"/>
                <w:szCs w:val="18"/>
              </w:rPr>
            </w:pPr>
            <w:r>
              <w:rPr>
                <w:rFonts w:hint="eastAsia" w:ascii="宋体" w:hAnsi="宋体" w:cs="宋体"/>
                <w:kern w:val="0"/>
                <w:sz w:val="18"/>
                <w:szCs w:val="18"/>
              </w:rPr>
              <w:t>X＜10</w:t>
            </w:r>
          </w:p>
        </w:tc>
      </w:tr>
      <w:tr w14:paraId="261E90BD">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127B3147">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3447E64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02538DCA">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07F6A36D">
            <w:pPr>
              <w:widowControl/>
              <w:jc w:val="left"/>
              <w:rPr>
                <w:rFonts w:ascii="宋体" w:hAnsi="宋体" w:cs="宋体"/>
                <w:kern w:val="0"/>
                <w:sz w:val="18"/>
                <w:szCs w:val="18"/>
              </w:rPr>
            </w:pPr>
            <w:r>
              <w:rPr>
                <w:rFonts w:hint="eastAsia" w:ascii="宋体" w:hAnsi="宋体" w:cs="宋体"/>
                <w:kern w:val="0"/>
                <w:sz w:val="18"/>
                <w:szCs w:val="18"/>
              </w:rPr>
              <w:t>1000≤Y＜10000</w:t>
            </w:r>
          </w:p>
        </w:tc>
        <w:tc>
          <w:tcPr>
            <w:tcW w:w="1498" w:type="dxa"/>
            <w:tcBorders>
              <w:top w:val="nil"/>
              <w:left w:val="nil"/>
              <w:bottom w:val="single" w:color="auto" w:sz="4" w:space="0"/>
              <w:right w:val="single" w:color="auto" w:sz="4" w:space="0"/>
            </w:tcBorders>
            <w:vAlign w:val="center"/>
          </w:tcPr>
          <w:p w14:paraId="089806A4">
            <w:pPr>
              <w:widowControl/>
              <w:jc w:val="left"/>
              <w:rPr>
                <w:rFonts w:ascii="宋体" w:hAnsi="宋体" w:cs="宋体"/>
                <w:kern w:val="0"/>
                <w:sz w:val="18"/>
                <w:szCs w:val="18"/>
              </w:rPr>
            </w:pPr>
            <w:r>
              <w:rPr>
                <w:rFonts w:hint="eastAsia" w:ascii="宋体" w:hAnsi="宋体" w:cs="宋体"/>
                <w:kern w:val="0"/>
                <w:sz w:val="18"/>
                <w:szCs w:val="18"/>
              </w:rPr>
              <w:t>50≤Y＜1000</w:t>
            </w:r>
          </w:p>
        </w:tc>
        <w:tc>
          <w:tcPr>
            <w:tcW w:w="1057" w:type="dxa"/>
            <w:tcBorders>
              <w:top w:val="nil"/>
              <w:left w:val="nil"/>
              <w:bottom w:val="single" w:color="auto" w:sz="4" w:space="0"/>
              <w:right w:val="single" w:color="auto" w:sz="4" w:space="0"/>
            </w:tcBorders>
            <w:vAlign w:val="center"/>
          </w:tcPr>
          <w:p w14:paraId="65577D60">
            <w:pPr>
              <w:widowControl/>
              <w:jc w:val="left"/>
              <w:rPr>
                <w:rFonts w:ascii="宋体" w:hAnsi="宋体" w:cs="宋体"/>
                <w:kern w:val="0"/>
                <w:sz w:val="18"/>
                <w:szCs w:val="18"/>
              </w:rPr>
            </w:pPr>
            <w:r>
              <w:rPr>
                <w:rFonts w:hint="eastAsia" w:ascii="宋体" w:hAnsi="宋体" w:cs="宋体"/>
                <w:kern w:val="0"/>
                <w:sz w:val="18"/>
                <w:szCs w:val="18"/>
              </w:rPr>
              <w:t>Y＜50</w:t>
            </w:r>
          </w:p>
        </w:tc>
      </w:tr>
      <w:tr w14:paraId="2C05CE6E">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4CAA9F51">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580" w:type="dxa"/>
            <w:tcBorders>
              <w:top w:val="nil"/>
              <w:left w:val="nil"/>
              <w:bottom w:val="single" w:color="auto" w:sz="4" w:space="0"/>
              <w:right w:val="single" w:color="auto" w:sz="4" w:space="0"/>
            </w:tcBorders>
            <w:vAlign w:val="center"/>
          </w:tcPr>
          <w:p w14:paraId="6F09224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2295469F">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2E0AED52">
            <w:pPr>
              <w:widowControl/>
              <w:jc w:val="left"/>
              <w:rPr>
                <w:rFonts w:ascii="宋体" w:hAnsi="宋体" w:cs="宋体"/>
                <w:kern w:val="0"/>
                <w:sz w:val="18"/>
                <w:szCs w:val="18"/>
              </w:rPr>
            </w:pPr>
            <w:r>
              <w:rPr>
                <w:rFonts w:hint="eastAsia" w:ascii="宋体" w:hAnsi="宋体" w:cs="宋体"/>
                <w:kern w:val="0"/>
                <w:sz w:val="18"/>
                <w:szCs w:val="18"/>
              </w:rPr>
              <w:t>1000≤Y＜200000</w:t>
            </w:r>
          </w:p>
        </w:tc>
        <w:tc>
          <w:tcPr>
            <w:tcW w:w="1498" w:type="dxa"/>
            <w:tcBorders>
              <w:top w:val="nil"/>
              <w:left w:val="nil"/>
              <w:bottom w:val="single" w:color="auto" w:sz="4" w:space="0"/>
              <w:right w:val="single" w:color="auto" w:sz="4" w:space="0"/>
            </w:tcBorders>
            <w:vAlign w:val="center"/>
          </w:tcPr>
          <w:p w14:paraId="0DDCBCE5">
            <w:pPr>
              <w:widowControl/>
              <w:jc w:val="left"/>
              <w:rPr>
                <w:rFonts w:ascii="宋体" w:hAnsi="宋体" w:cs="宋体"/>
                <w:kern w:val="0"/>
                <w:sz w:val="18"/>
                <w:szCs w:val="18"/>
              </w:rPr>
            </w:pPr>
            <w:r>
              <w:rPr>
                <w:rFonts w:hint="eastAsia" w:ascii="宋体" w:hAnsi="宋体" w:cs="宋体"/>
                <w:kern w:val="0"/>
                <w:sz w:val="18"/>
                <w:szCs w:val="18"/>
              </w:rPr>
              <w:t>100≤X＜1000</w:t>
            </w:r>
          </w:p>
        </w:tc>
        <w:tc>
          <w:tcPr>
            <w:tcW w:w="1057" w:type="dxa"/>
            <w:tcBorders>
              <w:top w:val="nil"/>
              <w:left w:val="nil"/>
              <w:bottom w:val="single" w:color="auto" w:sz="4" w:space="0"/>
              <w:right w:val="single" w:color="auto" w:sz="4" w:space="0"/>
            </w:tcBorders>
            <w:vAlign w:val="center"/>
          </w:tcPr>
          <w:p w14:paraId="28542F40">
            <w:pPr>
              <w:widowControl/>
              <w:jc w:val="left"/>
              <w:rPr>
                <w:rFonts w:ascii="宋体" w:hAnsi="宋体" w:cs="宋体"/>
                <w:kern w:val="0"/>
                <w:sz w:val="18"/>
                <w:szCs w:val="18"/>
              </w:rPr>
            </w:pPr>
            <w:r>
              <w:rPr>
                <w:rFonts w:hint="eastAsia" w:ascii="宋体" w:hAnsi="宋体" w:cs="宋体"/>
                <w:kern w:val="0"/>
                <w:sz w:val="18"/>
                <w:szCs w:val="18"/>
              </w:rPr>
              <w:t>X＜100</w:t>
            </w:r>
          </w:p>
        </w:tc>
      </w:tr>
      <w:tr w14:paraId="26925986">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4C838C98">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63827EFE">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1224" w:type="dxa"/>
            <w:tcBorders>
              <w:top w:val="nil"/>
              <w:left w:val="nil"/>
              <w:bottom w:val="single" w:color="auto" w:sz="4" w:space="0"/>
              <w:right w:val="single" w:color="auto" w:sz="4" w:space="0"/>
            </w:tcBorders>
            <w:vAlign w:val="center"/>
          </w:tcPr>
          <w:p w14:paraId="3C4F905C">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0E5ECD32">
            <w:pPr>
              <w:widowControl/>
              <w:jc w:val="left"/>
              <w:rPr>
                <w:rFonts w:ascii="宋体" w:hAnsi="宋体" w:cs="宋体"/>
                <w:kern w:val="0"/>
                <w:sz w:val="18"/>
                <w:szCs w:val="18"/>
              </w:rPr>
            </w:pPr>
            <w:r>
              <w:rPr>
                <w:rFonts w:hint="eastAsia" w:ascii="宋体" w:hAnsi="宋体" w:cs="宋体"/>
                <w:kern w:val="0"/>
                <w:sz w:val="18"/>
                <w:szCs w:val="18"/>
              </w:rPr>
              <w:t>5000≤Z＜10000</w:t>
            </w:r>
          </w:p>
        </w:tc>
        <w:tc>
          <w:tcPr>
            <w:tcW w:w="1498" w:type="dxa"/>
            <w:tcBorders>
              <w:top w:val="nil"/>
              <w:left w:val="nil"/>
              <w:bottom w:val="single" w:color="auto" w:sz="4" w:space="0"/>
              <w:right w:val="single" w:color="auto" w:sz="4" w:space="0"/>
            </w:tcBorders>
            <w:vAlign w:val="center"/>
          </w:tcPr>
          <w:p w14:paraId="43C48DDC">
            <w:pPr>
              <w:widowControl/>
              <w:jc w:val="left"/>
              <w:rPr>
                <w:rFonts w:ascii="宋体" w:hAnsi="宋体" w:cs="宋体"/>
                <w:kern w:val="0"/>
                <w:sz w:val="18"/>
                <w:szCs w:val="18"/>
              </w:rPr>
            </w:pPr>
            <w:r>
              <w:rPr>
                <w:rFonts w:hint="eastAsia" w:ascii="宋体" w:hAnsi="宋体" w:cs="宋体"/>
                <w:kern w:val="0"/>
                <w:sz w:val="18"/>
                <w:szCs w:val="18"/>
              </w:rPr>
              <w:t>2000≤Y＜5000</w:t>
            </w:r>
          </w:p>
        </w:tc>
        <w:tc>
          <w:tcPr>
            <w:tcW w:w="1057" w:type="dxa"/>
            <w:tcBorders>
              <w:top w:val="nil"/>
              <w:left w:val="nil"/>
              <w:bottom w:val="single" w:color="auto" w:sz="4" w:space="0"/>
              <w:right w:val="single" w:color="auto" w:sz="4" w:space="0"/>
            </w:tcBorders>
            <w:vAlign w:val="center"/>
          </w:tcPr>
          <w:p w14:paraId="2B8D3864">
            <w:pPr>
              <w:widowControl/>
              <w:jc w:val="left"/>
              <w:rPr>
                <w:rFonts w:ascii="宋体" w:hAnsi="宋体" w:cs="宋体"/>
                <w:kern w:val="0"/>
                <w:sz w:val="18"/>
                <w:szCs w:val="18"/>
              </w:rPr>
            </w:pPr>
            <w:r>
              <w:rPr>
                <w:rFonts w:hint="eastAsia" w:ascii="宋体" w:hAnsi="宋体" w:cs="宋体"/>
                <w:kern w:val="0"/>
                <w:sz w:val="18"/>
                <w:szCs w:val="18"/>
              </w:rPr>
              <w:t>Y＜2000</w:t>
            </w:r>
          </w:p>
        </w:tc>
      </w:tr>
      <w:tr w14:paraId="5832D3AB">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76CE0D14">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580" w:type="dxa"/>
            <w:tcBorders>
              <w:top w:val="nil"/>
              <w:left w:val="nil"/>
              <w:bottom w:val="single" w:color="auto" w:sz="4" w:space="0"/>
              <w:right w:val="single" w:color="auto" w:sz="4" w:space="0"/>
            </w:tcBorders>
            <w:vAlign w:val="center"/>
          </w:tcPr>
          <w:p w14:paraId="1806F20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3F519EB3">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12121283">
            <w:pPr>
              <w:widowControl/>
              <w:jc w:val="left"/>
              <w:rPr>
                <w:rFonts w:ascii="宋体" w:hAnsi="宋体" w:cs="宋体"/>
                <w:kern w:val="0"/>
                <w:sz w:val="18"/>
                <w:szCs w:val="18"/>
              </w:rPr>
            </w:pPr>
            <w:r>
              <w:rPr>
                <w:rFonts w:hint="eastAsia" w:ascii="宋体" w:hAnsi="宋体" w:cs="宋体"/>
                <w:kern w:val="0"/>
                <w:sz w:val="18"/>
                <w:szCs w:val="18"/>
              </w:rPr>
              <w:t>300≤X＜1000</w:t>
            </w:r>
          </w:p>
        </w:tc>
        <w:tc>
          <w:tcPr>
            <w:tcW w:w="1498" w:type="dxa"/>
            <w:tcBorders>
              <w:top w:val="nil"/>
              <w:left w:val="nil"/>
              <w:bottom w:val="single" w:color="auto" w:sz="4" w:space="0"/>
              <w:right w:val="single" w:color="auto" w:sz="4" w:space="0"/>
            </w:tcBorders>
            <w:vAlign w:val="center"/>
          </w:tcPr>
          <w:p w14:paraId="062FCFAD">
            <w:pPr>
              <w:widowControl/>
              <w:jc w:val="left"/>
              <w:rPr>
                <w:rFonts w:ascii="宋体" w:hAnsi="宋体" w:cs="宋体"/>
                <w:kern w:val="0"/>
                <w:sz w:val="18"/>
                <w:szCs w:val="18"/>
              </w:rPr>
            </w:pPr>
            <w:r>
              <w:rPr>
                <w:rFonts w:hint="eastAsia" w:ascii="宋体" w:hAnsi="宋体" w:cs="宋体"/>
                <w:kern w:val="0"/>
                <w:sz w:val="18"/>
                <w:szCs w:val="18"/>
              </w:rPr>
              <w:t>100≤X＜300</w:t>
            </w:r>
          </w:p>
        </w:tc>
        <w:tc>
          <w:tcPr>
            <w:tcW w:w="1057" w:type="dxa"/>
            <w:tcBorders>
              <w:top w:val="nil"/>
              <w:left w:val="nil"/>
              <w:bottom w:val="single" w:color="auto" w:sz="4" w:space="0"/>
              <w:right w:val="single" w:color="auto" w:sz="4" w:space="0"/>
            </w:tcBorders>
            <w:vAlign w:val="center"/>
          </w:tcPr>
          <w:p w14:paraId="130A300D">
            <w:pPr>
              <w:widowControl/>
              <w:jc w:val="left"/>
              <w:rPr>
                <w:rFonts w:ascii="宋体" w:hAnsi="宋体" w:cs="宋体"/>
                <w:kern w:val="0"/>
                <w:sz w:val="18"/>
                <w:szCs w:val="18"/>
              </w:rPr>
            </w:pPr>
            <w:r>
              <w:rPr>
                <w:rFonts w:hint="eastAsia" w:ascii="宋体" w:hAnsi="宋体" w:cs="宋体"/>
                <w:kern w:val="0"/>
                <w:sz w:val="18"/>
                <w:szCs w:val="18"/>
              </w:rPr>
              <w:t>X＜100</w:t>
            </w:r>
          </w:p>
        </w:tc>
      </w:tr>
      <w:tr w14:paraId="5CBD5D46">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47A366BD">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2094B1C5">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1224" w:type="dxa"/>
            <w:tcBorders>
              <w:top w:val="nil"/>
              <w:left w:val="nil"/>
              <w:bottom w:val="single" w:color="auto" w:sz="4" w:space="0"/>
              <w:right w:val="single" w:color="auto" w:sz="4" w:space="0"/>
            </w:tcBorders>
            <w:vAlign w:val="center"/>
          </w:tcPr>
          <w:p w14:paraId="588572EC">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25CE1B0C">
            <w:pPr>
              <w:widowControl/>
              <w:jc w:val="left"/>
              <w:rPr>
                <w:rFonts w:ascii="宋体" w:hAnsi="宋体" w:cs="宋体"/>
                <w:kern w:val="0"/>
                <w:sz w:val="18"/>
                <w:szCs w:val="18"/>
              </w:rPr>
            </w:pPr>
            <w:r>
              <w:rPr>
                <w:rFonts w:hint="eastAsia" w:ascii="宋体" w:hAnsi="宋体" w:cs="宋体"/>
                <w:kern w:val="0"/>
                <w:sz w:val="18"/>
                <w:szCs w:val="18"/>
              </w:rPr>
              <w:t>1000≤Y＜5000</w:t>
            </w:r>
          </w:p>
        </w:tc>
        <w:tc>
          <w:tcPr>
            <w:tcW w:w="1498" w:type="dxa"/>
            <w:tcBorders>
              <w:top w:val="nil"/>
              <w:left w:val="nil"/>
              <w:bottom w:val="single" w:color="auto" w:sz="4" w:space="0"/>
              <w:right w:val="single" w:color="auto" w:sz="4" w:space="0"/>
            </w:tcBorders>
            <w:vAlign w:val="center"/>
          </w:tcPr>
          <w:p w14:paraId="0868AE6F">
            <w:pPr>
              <w:widowControl/>
              <w:jc w:val="left"/>
              <w:rPr>
                <w:rFonts w:ascii="宋体" w:hAnsi="宋体" w:cs="宋体"/>
                <w:kern w:val="0"/>
                <w:sz w:val="18"/>
                <w:szCs w:val="18"/>
              </w:rPr>
            </w:pPr>
            <w:r>
              <w:rPr>
                <w:rFonts w:hint="eastAsia" w:ascii="宋体" w:hAnsi="宋体" w:cs="宋体"/>
                <w:kern w:val="0"/>
                <w:sz w:val="18"/>
                <w:szCs w:val="18"/>
              </w:rPr>
              <w:t>500≤Y＜1000</w:t>
            </w:r>
          </w:p>
        </w:tc>
        <w:tc>
          <w:tcPr>
            <w:tcW w:w="1057" w:type="dxa"/>
            <w:tcBorders>
              <w:top w:val="nil"/>
              <w:left w:val="nil"/>
              <w:bottom w:val="single" w:color="auto" w:sz="4" w:space="0"/>
              <w:right w:val="single" w:color="auto" w:sz="4" w:space="0"/>
            </w:tcBorders>
            <w:vAlign w:val="center"/>
          </w:tcPr>
          <w:p w14:paraId="73016A93">
            <w:pPr>
              <w:widowControl/>
              <w:jc w:val="left"/>
              <w:rPr>
                <w:rFonts w:ascii="宋体" w:hAnsi="宋体" w:cs="宋体"/>
                <w:kern w:val="0"/>
                <w:sz w:val="18"/>
                <w:szCs w:val="18"/>
              </w:rPr>
            </w:pPr>
            <w:r>
              <w:rPr>
                <w:rFonts w:hint="eastAsia" w:ascii="宋体" w:hAnsi="宋体" w:cs="宋体"/>
                <w:kern w:val="0"/>
                <w:sz w:val="18"/>
                <w:szCs w:val="18"/>
              </w:rPr>
              <w:t>Y＜500</w:t>
            </w:r>
          </w:p>
        </w:tc>
      </w:tr>
      <w:tr w14:paraId="4B7748E5">
        <w:tblPrEx>
          <w:tblCellMar>
            <w:top w:w="0" w:type="dxa"/>
            <w:left w:w="108" w:type="dxa"/>
            <w:bottom w:w="0" w:type="dxa"/>
            <w:right w:w="108" w:type="dxa"/>
          </w:tblCellMar>
        </w:tblPrEx>
        <w:trPr>
          <w:trHeight w:val="342" w:hRule="atLeast"/>
        </w:trPr>
        <w:tc>
          <w:tcPr>
            <w:tcW w:w="1944" w:type="dxa"/>
            <w:vMerge w:val="restart"/>
            <w:tcBorders>
              <w:top w:val="nil"/>
              <w:left w:val="single" w:color="auto" w:sz="4" w:space="0"/>
              <w:bottom w:val="single" w:color="auto" w:sz="4" w:space="0"/>
              <w:right w:val="single" w:color="auto" w:sz="4" w:space="0"/>
            </w:tcBorders>
            <w:vAlign w:val="bottom"/>
          </w:tcPr>
          <w:p w14:paraId="4B9D5846">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580" w:type="dxa"/>
            <w:tcBorders>
              <w:top w:val="nil"/>
              <w:left w:val="nil"/>
              <w:bottom w:val="single" w:color="auto" w:sz="4" w:space="0"/>
              <w:right w:val="single" w:color="auto" w:sz="4" w:space="0"/>
            </w:tcBorders>
            <w:vAlign w:val="center"/>
          </w:tcPr>
          <w:p w14:paraId="774B634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1BDB5047">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7ACF2D94">
            <w:pPr>
              <w:widowControl/>
              <w:jc w:val="left"/>
              <w:rPr>
                <w:rFonts w:ascii="宋体" w:hAnsi="宋体" w:cs="宋体"/>
                <w:kern w:val="0"/>
                <w:sz w:val="18"/>
                <w:szCs w:val="18"/>
              </w:rPr>
            </w:pPr>
            <w:r>
              <w:rPr>
                <w:rFonts w:hint="eastAsia" w:ascii="宋体" w:hAnsi="宋体" w:cs="宋体"/>
                <w:kern w:val="0"/>
                <w:sz w:val="18"/>
                <w:szCs w:val="18"/>
              </w:rPr>
              <w:t>100≤X＜300</w:t>
            </w:r>
          </w:p>
        </w:tc>
        <w:tc>
          <w:tcPr>
            <w:tcW w:w="1498" w:type="dxa"/>
            <w:tcBorders>
              <w:top w:val="nil"/>
              <w:left w:val="nil"/>
              <w:bottom w:val="single" w:color="auto" w:sz="4" w:space="0"/>
              <w:right w:val="single" w:color="auto" w:sz="4" w:space="0"/>
            </w:tcBorders>
            <w:vAlign w:val="center"/>
          </w:tcPr>
          <w:p w14:paraId="547DAEC4">
            <w:pPr>
              <w:widowControl/>
              <w:jc w:val="left"/>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064F2454">
            <w:pPr>
              <w:widowControl/>
              <w:jc w:val="left"/>
              <w:rPr>
                <w:rFonts w:ascii="宋体" w:hAnsi="宋体" w:cs="宋体"/>
                <w:kern w:val="0"/>
                <w:sz w:val="18"/>
                <w:szCs w:val="18"/>
              </w:rPr>
            </w:pPr>
            <w:r>
              <w:rPr>
                <w:rFonts w:hint="eastAsia" w:ascii="宋体" w:hAnsi="宋体" w:cs="宋体"/>
                <w:kern w:val="0"/>
                <w:sz w:val="18"/>
                <w:szCs w:val="18"/>
              </w:rPr>
              <w:t>X＜10</w:t>
            </w:r>
          </w:p>
        </w:tc>
      </w:tr>
      <w:tr w14:paraId="7803B7D4">
        <w:tblPrEx>
          <w:tblCellMar>
            <w:top w:w="0" w:type="dxa"/>
            <w:left w:w="108" w:type="dxa"/>
            <w:bottom w:w="0" w:type="dxa"/>
            <w:right w:w="108" w:type="dxa"/>
          </w:tblCellMar>
        </w:tblPrEx>
        <w:trPr>
          <w:trHeight w:val="342" w:hRule="atLeast"/>
        </w:trPr>
        <w:tc>
          <w:tcPr>
            <w:tcW w:w="1944" w:type="dxa"/>
            <w:vMerge w:val="continue"/>
            <w:tcBorders>
              <w:top w:val="nil"/>
              <w:left w:val="single" w:color="auto" w:sz="4" w:space="0"/>
              <w:bottom w:val="single" w:color="auto" w:sz="4" w:space="0"/>
              <w:right w:val="single" w:color="auto" w:sz="4" w:space="0"/>
            </w:tcBorders>
            <w:vAlign w:val="center"/>
          </w:tcPr>
          <w:p w14:paraId="64F5B864">
            <w:pPr>
              <w:widowControl/>
              <w:jc w:val="left"/>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44A6C011">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1224" w:type="dxa"/>
            <w:tcBorders>
              <w:top w:val="nil"/>
              <w:left w:val="nil"/>
              <w:bottom w:val="single" w:color="auto" w:sz="4" w:space="0"/>
              <w:right w:val="single" w:color="auto" w:sz="4" w:space="0"/>
            </w:tcBorders>
            <w:vAlign w:val="center"/>
          </w:tcPr>
          <w:p w14:paraId="5EEA31B7">
            <w:pPr>
              <w:widowControl/>
              <w:jc w:val="left"/>
              <w:rPr>
                <w:rFonts w:ascii="宋体" w:hAnsi="宋体" w:cs="宋体"/>
                <w:kern w:val="0"/>
                <w:sz w:val="18"/>
                <w:szCs w:val="18"/>
              </w:rPr>
            </w:pPr>
            <w:r>
              <w:rPr>
                <w:rFonts w:hint="eastAsia" w:ascii="宋体" w:hAnsi="宋体" w:cs="宋体"/>
                <w:kern w:val="0"/>
                <w:sz w:val="18"/>
                <w:szCs w:val="18"/>
              </w:rPr>
              <w:t>万元</w:t>
            </w:r>
          </w:p>
        </w:tc>
        <w:tc>
          <w:tcPr>
            <w:tcW w:w="1815" w:type="dxa"/>
            <w:tcBorders>
              <w:top w:val="nil"/>
              <w:left w:val="nil"/>
              <w:bottom w:val="single" w:color="auto" w:sz="4" w:space="0"/>
              <w:right w:val="single" w:color="auto" w:sz="4" w:space="0"/>
            </w:tcBorders>
            <w:vAlign w:val="center"/>
          </w:tcPr>
          <w:p w14:paraId="267F94F7">
            <w:pPr>
              <w:widowControl/>
              <w:jc w:val="left"/>
              <w:rPr>
                <w:rFonts w:ascii="宋体" w:hAnsi="宋体" w:cs="宋体"/>
                <w:kern w:val="0"/>
                <w:sz w:val="18"/>
                <w:szCs w:val="18"/>
              </w:rPr>
            </w:pPr>
            <w:r>
              <w:rPr>
                <w:rFonts w:hint="eastAsia" w:ascii="宋体" w:hAnsi="宋体" w:cs="宋体"/>
                <w:kern w:val="0"/>
                <w:sz w:val="18"/>
                <w:szCs w:val="18"/>
              </w:rPr>
              <w:t>8000≤Z＜120000</w:t>
            </w:r>
          </w:p>
        </w:tc>
        <w:tc>
          <w:tcPr>
            <w:tcW w:w="1498" w:type="dxa"/>
            <w:tcBorders>
              <w:top w:val="nil"/>
              <w:left w:val="nil"/>
              <w:bottom w:val="single" w:color="auto" w:sz="4" w:space="0"/>
              <w:right w:val="single" w:color="auto" w:sz="4" w:space="0"/>
            </w:tcBorders>
            <w:vAlign w:val="center"/>
          </w:tcPr>
          <w:p w14:paraId="7815EBFD">
            <w:pPr>
              <w:widowControl/>
              <w:jc w:val="left"/>
              <w:rPr>
                <w:rFonts w:ascii="宋体" w:hAnsi="宋体" w:cs="宋体"/>
                <w:kern w:val="0"/>
                <w:sz w:val="18"/>
                <w:szCs w:val="18"/>
              </w:rPr>
            </w:pPr>
            <w:r>
              <w:rPr>
                <w:rFonts w:hint="eastAsia" w:ascii="宋体" w:hAnsi="宋体" w:cs="宋体"/>
                <w:kern w:val="0"/>
                <w:sz w:val="18"/>
                <w:szCs w:val="18"/>
              </w:rPr>
              <w:t>100≤Z＜8000</w:t>
            </w:r>
          </w:p>
        </w:tc>
        <w:tc>
          <w:tcPr>
            <w:tcW w:w="1057" w:type="dxa"/>
            <w:tcBorders>
              <w:top w:val="nil"/>
              <w:left w:val="nil"/>
              <w:bottom w:val="single" w:color="auto" w:sz="4" w:space="0"/>
              <w:right w:val="single" w:color="auto" w:sz="4" w:space="0"/>
            </w:tcBorders>
            <w:vAlign w:val="center"/>
          </w:tcPr>
          <w:p w14:paraId="26B5EA36">
            <w:pPr>
              <w:widowControl/>
              <w:jc w:val="left"/>
              <w:rPr>
                <w:rFonts w:ascii="宋体" w:hAnsi="宋体" w:cs="宋体"/>
                <w:kern w:val="0"/>
                <w:sz w:val="18"/>
                <w:szCs w:val="18"/>
              </w:rPr>
            </w:pPr>
            <w:r>
              <w:rPr>
                <w:rFonts w:hint="eastAsia" w:ascii="宋体" w:hAnsi="宋体" w:cs="宋体"/>
                <w:kern w:val="0"/>
                <w:sz w:val="18"/>
                <w:szCs w:val="18"/>
              </w:rPr>
              <w:t>Y＜100</w:t>
            </w:r>
          </w:p>
        </w:tc>
      </w:tr>
      <w:tr w14:paraId="7EF08103">
        <w:tblPrEx>
          <w:tblCellMar>
            <w:top w:w="0" w:type="dxa"/>
            <w:left w:w="108" w:type="dxa"/>
            <w:bottom w:w="0" w:type="dxa"/>
            <w:right w:w="108" w:type="dxa"/>
          </w:tblCellMar>
        </w:tblPrEx>
        <w:trPr>
          <w:trHeight w:val="352" w:hRule="atLeast"/>
        </w:trPr>
        <w:tc>
          <w:tcPr>
            <w:tcW w:w="1944" w:type="dxa"/>
            <w:tcBorders>
              <w:top w:val="nil"/>
              <w:left w:val="single" w:color="auto" w:sz="4" w:space="0"/>
              <w:bottom w:val="single" w:color="auto" w:sz="4" w:space="0"/>
              <w:right w:val="single" w:color="auto" w:sz="4" w:space="0"/>
            </w:tcBorders>
            <w:vAlign w:val="bottom"/>
          </w:tcPr>
          <w:p w14:paraId="4280FCB2">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580" w:type="dxa"/>
            <w:tcBorders>
              <w:top w:val="nil"/>
              <w:left w:val="nil"/>
              <w:bottom w:val="single" w:color="auto" w:sz="4" w:space="0"/>
              <w:right w:val="single" w:color="auto" w:sz="4" w:space="0"/>
            </w:tcBorders>
            <w:vAlign w:val="center"/>
          </w:tcPr>
          <w:p w14:paraId="38732F56">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1224" w:type="dxa"/>
            <w:tcBorders>
              <w:top w:val="nil"/>
              <w:left w:val="nil"/>
              <w:bottom w:val="single" w:color="auto" w:sz="4" w:space="0"/>
              <w:right w:val="single" w:color="auto" w:sz="4" w:space="0"/>
            </w:tcBorders>
            <w:vAlign w:val="center"/>
          </w:tcPr>
          <w:p w14:paraId="31B6CB90">
            <w:pPr>
              <w:widowControl/>
              <w:jc w:val="left"/>
              <w:rPr>
                <w:rFonts w:ascii="宋体" w:hAnsi="宋体" w:cs="宋体"/>
                <w:kern w:val="0"/>
                <w:sz w:val="18"/>
                <w:szCs w:val="18"/>
              </w:rPr>
            </w:pPr>
            <w:r>
              <w:rPr>
                <w:rFonts w:hint="eastAsia" w:ascii="宋体" w:hAnsi="宋体" w:cs="宋体"/>
                <w:kern w:val="0"/>
                <w:sz w:val="18"/>
                <w:szCs w:val="18"/>
              </w:rPr>
              <w:t>人</w:t>
            </w:r>
          </w:p>
        </w:tc>
        <w:tc>
          <w:tcPr>
            <w:tcW w:w="1815" w:type="dxa"/>
            <w:tcBorders>
              <w:top w:val="nil"/>
              <w:left w:val="nil"/>
              <w:bottom w:val="single" w:color="auto" w:sz="4" w:space="0"/>
              <w:right w:val="single" w:color="auto" w:sz="4" w:space="0"/>
            </w:tcBorders>
            <w:vAlign w:val="center"/>
          </w:tcPr>
          <w:p w14:paraId="232982A3">
            <w:pPr>
              <w:widowControl/>
              <w:jc w:val="left"/>
              <w:rPr>
                <w:rFonts w:ascii="宋体" w:hAnsi="宋体" w:cs="宋体"/>
                <w:kern w:val="0"/>
                <w:sz w:val="18"/>
                <w:szCs w:val="18"/>
              </w:rPr>
            </w:pPr>
            <w:r>
              <w:rPr>
                <w:rFonts w:hint="eastAsia" w:ascii="宋体" w:hAnsi="宋体" w:cs="宋体"/>
                <w:kern w:val="0"/>
                <w:sz w:val="18"/>
                <w:szCs w:val="18"/>
              </w:rPr>
              <w:t>100≤X＜300</w:t>
            </w:r>
          </w:p>
        </w:tc>
        <w:tc>
          <w:tcPr>
            <w:tcW w:w="1498" w:type="dxa"/>
            <w:tcBorders>
              <w:top w:val="nil"/>
              <w:left w:val="nil"/>
              <w:bottom w:val="single" w:color="auto" w:sz="4" w:space="0"/>
              <w:right w:val="single" w:color="auto" w:sz="4" w:space="0"/>
            </w:tcBorders>
            <w:vAlign w:val="center"/>
          </w:tcPr>
          <w:p w14:paraId="074BDEDA">
            <w:pPr>
              <w:widowControl/>
              <w:jc w:val="left"/>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45FDCBFD">
            <w:pPr>
              <w:widowControl/>
              <w:jc w:val="left"/>
              <w:rPr>
                <w:rFonts w:ascii="宋体" w:hAnsi="宋体" w:cs="宋体"/>
                <w:kern w:val="0"/>
                <w:sz w:val="18"/>
                <w:szCs w:val="18"/>
              </w:rPr>
            </w:pPr>
            <w:r>
              <w:rPr>
                <w:rFonts w:hint="eastAsia" w:ascii="宋体" w:hAnsi="宋体" w:cs="宋体"/>
                <w:kern w:val="0"/>
                <w:sz w:val="18"/>
                <w:szCs w:val="18"/>
              </w:rPr>
              <w:t>X＜10</w:t>
            </w:r>
          </w:p>
        </w:tc>
      </w:tr>
    </w:tbl>
    <w:p w14:paraId="0FB46125">
      <w:pPr>
        <w:spacing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736E4C9F">
      <w:pPr>
        <w:widowControl/>
        <w:jc w:val="left"/>
        <w:rPr>
          <w:rFonts w:ascii="宋体" w:hAnsi="宋体" w:cs="宋体"/>
          <w:szCs w:val="20"/>
        </w:rPr>
        <w:sectPr>
          <w:pgSz w:w="11906" w:h="16838"/>
          <w:pgMar w:top="1134" w:right="1134" w:bottom="1134" w:left="1134" w:header="720" w:footer="720" w:gutter="0"/>
          <w:cols w:space="720" w:num="1"/>
          <w:docGrid w:type="lines" w:linePitch="331" w:charSpace="0"/>
        </w:sectPr>
      </w:pPr>
    </w:p>
    <w:p w14:paraId="6A795D68">
      <w:pPr>
        <w:pStyle w:val="2"/>
        <w:spacing w:line="240" w:lineRule="auto"/>
        <w:jc w:val="center"/>
        <w:rPr>
          <w:rFonts w:hAnsi="宋体" w:cs="宋体"/>
          <w:bCs w:val="0"/>
          <w:sz w:val="21"/>
        </w:rPr>
      </w:pPr>
      <w:bookmarkStart w:id="29" w:name="_Toc21875"/>
      <w:bookmarkStart w:id="30" w:name="_Toc10913"/>
      <w:bookmarkStart w:id="31" w:name="_Toc6909"/>
      <w:r>
        <w:rPr>
          <w:rFonts w:hint="eastAsia" w:ascii="宋体" w:hAnsi="宋体" w:cs="宋体"/>
          <w:sz w:val="28"/>
          <w:szCs w:val="28"/>
        </w:rPr>
        <w:t xml:space="preserve">第四章 </w:t>
      </w:r>
      <w:bookmarkEnd w:id="29"/>
      <w:bookmarkEnd w:id="30"/>
      <w:bookmarkEnd w:id="31"/>
      <w:r>
        <w:rPr>
          <w:rFonts w:hint="eastAsia" w:ascii="宋体" w:hAnsi="宋体" w:cs="宋体"/>
          <w:sz w:val="28"/>
          <w:szCs w:val="28"/>
        </w:rPr>
        <w:t>评审程序、评审方法和评审标准（综合评分法）</w:t>
      </w:r>
    </w:p>
    <w:p w14:paraId="7A0C2A2B">
      <w:pPr>
        <w:pStyle w:val="74"/>
        <w:spacing w:line="360" w:lineRule="auto"/>
        <w:ind w:firstLine="424"/>
      </w:pPr>
      <w:r>
        <w:t>1</w:t>
      </w:r>
      <w:r>
        <w:rPr>
          <w:rFonts w:hint="eastAsia"/>
        </w:rPr>
        <w:t>.资格审查</w:t>
      </w:r>
    </w:p>
    <w:p w14:paraId="3DFB831E">
      <w:pPr>
        <w:spacing w:line="360" w:lineRule="auto"/>
        <w:ind w:firstLine="420"/>
        <w:rPr>
          <w:rFonts w:hAnsi="宋体"/>
        </w:rPr>
      </w:pPr>
      <w:r>
        <w:rPr>
          <w:rFonts w:hAnsi="宋体" w:cs="宋体"/>
        </w:rPr>
        <w:t>1</w:t>
      </w:r>
      <w:r>
        <w:rPr>
          <w:rFonts w:hint="eastAsia" w:hAnsi="宋体" w:cs="宋体"/>
        </w:rPr>
        <w:t>.1</w:t>
      </w:r>
      <w:r>
        <w:rPr>
          <w:rFonts w:hint="eastAsia" w:hAnsi="宋体"/>
        </w:rPr>
        <w:t>响应文件开启后，磋商小组依法对供应商的资格证明文件进行审查。</w:t>
      </w:r>
    </w:p>
    <w:p w14:paraId="2F44F0C6">
      <w:pPr>
        <w:spacing w:line="360" w:lineRule="auto"/>
        <w:ind w:firstLine="420"/>
        <w:rPr>
          <w:rFonts w:hAnsi="宋体" w:cs="宋体"/>
        </w:rPr>
      </w:pPr>
      <w:r>
        <w:rPr>
          <w:rFonts w:hint="eastAsia" w:hAnsi="宋体" w:cs="宋体"/>
        </w:rPr>
        <w:t>（1）查询渠道：“信用中国”网站(www.creditchina.gov.cn) 、中国政府采购网(www.ccgp.gov.cn)。</w:t>
      </w:r>
    </w:p>
    <w:p w14:paraId="745815CD">
      <w:pPr>
        <w:spacing w:line="360" w:lineRule="auto"/>
        <w:ind w:firstLine="420"/>
        <w:rPr>
          <w:rFonts w:hAnsi="宋体" w:cs="宋体"/>
        </w:rPr>
      </w:pPr>
      <w:r>
        <w:rPr>
          <w:rFonts w:hint="eastAsia" w:hAnsi="宋体" w:cs="宋体"/>
        </w:rPr>
        <w:t>（2）信用查询截止时点：资格审查结束前。</w:t>
      </w:r>
    </w:p>
    <w:p w14:paraId="46C796A7">
      <w:pPr>
        <w:spacing w:line="360" w:lineRule="auto"/>
        <w:ind w:firstLine="420"/>
        <w:rPr>
          <w:rFonts w:hAnsi="宋体" w:cs="宋体"/>
        </w:rPr>
      </w:pPr>
      <w:r>
        <w:rPr>
          <w:rFonts w:hint="eastAsia" w:hAnsi="宋体" w:cs="宋体"/>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7997C714">
      <w:pPr>
        <w:spacing w:line="360" w:lineRule="auto"/>
        <w:ind w:firstLine="420"/>
        <w:rPr>
          <w:rFonts w:hAnsi="宋体" w:cs="宋体"/>
        </w:rPr>
      </w:pPr>
      <w:r>
        <w:rPr>
          <w:rFonts w:hAnsi="宋体" w:cs="宋体"/>
        </w:rPr>
        <w:t>1</w:t>
      </w:r>
      <w:r>
        <w:rPr>
          <w:rFonts w:hint="eastAsia" w:hAnsi="宋体" w:cs="宋体"/>
        </w:rPr>
        <w:t>.2资格审查标准为本磋商文件中载明对供应商资格要求的条件。资格审查采用合格制，凡符合磋商文件规定的供应商资格要求的响应文件均通过资格审查。</w:t>
      </w:r>
    </w:p>
    <w:p w14:paraId="6D7B23BD">
      <w:pPr>
        <w:spacing w:line="360" w:lineRule="auto"/>
        <w:ind w:firstLine="420"/>
        <w:rPr>
          <w:rFonts w:hAnsi="宋体" w:cs="宋体"/>
        </w:rPr>
      </w:pPr>
      <w:r>
        <w:rPr>
          <w:rFonts w:hAnsi="宋体" w:cs="宋体"/>
        </w:rPr>
        <w:t>1</w:t>
      </w:r>
      <w:r>
        <w:rPr>
          <w:rFonts w:hint="eastAsia" w:hAnsi="宋体" w:cs="宋体"/>
        </w:rPr>
        <w:t>.3供应商有下列情形之一的，资格审查不通过，其响应文件按无效响应处理：</w:t>
      </w:r>
    </w:p>
    <w:p w14:paraId="1F8B3455">
      <w:pPr>
        <w:spacing w:line="360" w:lineRule="auto"/>
        <w:ind w:firstLine="420"/>
        <w:rPr>
          <w:rFonts w:hAnsi="宋体" w:cs="宋体"/>
        </w:rPr>
      </w:pPr>
      <w:r>
        <w:rPr>
          <w:rFonts w:hint="eastAsia" w:hAnsi="宋体" w:cs="宋体"/>
        </w:rPr>
        <w:t>（</w:t>
      </w:r>
      <w:r>
        <w:rPr>
          <w:rFonts w:hAnsi="宋体" w:cs="宋体"/>
        </w:rPr>
        <w:t>1</w:t>
      </w:r>
      <w:r>
        <w:rPr>
          <w:rFonts w:hint="eastAsia" w:hAnsi="宋体" w:cs="宋体"/>
        </w:rPr>
        <w:t>）不具备磋商文件中规定的资格要求的；</w:t>
      </w:r>
    </w:p>
    <w:p w14:paraId="5ADEEA21">
      <w:pPr>
        <w:spacing w:line="360" w:lineRule="auto"/>
        <w:ind w:firstLine="420"/>
        <w:rPr>
          <w:rFonts w:hAnsi="宋体" w:cs="宋体"/>
        </w:rPr>
      </w:pPr>
      <w:r>
        <w:rPr>
          <w:rFonts w:hint="eastAsia" w:hAnsi="宋体" w:cs="宋体"/>
        </w:rPr>
        <w:t>（2）未按磋商文件规定的方式获取本磋商文件的供应商；</w:t>
      </w:r>
    </w:p>
    <w:p w14:paraId="78C13317">
      <w:pPr>
        <w:spacing w:line="360" w:lineRule="auto"/>
        <w:ind w:firstLine="420"/>
        <w:rPr>
          <w:rFonts w:hAnsi="宋体" w:cs="宋体"/>
        </w:rPr>
      </w:pPr>
      <w:r>
        <w:rPr>
          <w:rFonts w:hint="eastAsia" w:hAnsi="宋体" w:cs="宋体"/>
        </w:rPr>
        <w:t>（</w:t>
      </w:r>
      <w:r>
        <w:rPr>
          <w:rFonts w:hAnsi="宋体" w:cs="宋体"/>
        </w:rPr>
        <w:t>3</w:t>
      </w:r>
      <w:r>
        <w:rPr>
          <w:rFonts w:hint="eastAsia" w:hAnsi="宋体" w:cs="宋体"/>
        </w:rPr>
        <w:t>）响应文件的资格证明文件缺少任一项“供应商须知前附表”资格证明文件规定的“必须提供”的文件资料的；</w:t>
      </w:r>
    </w:p>
    <w:p w14:paraId="4EE1FFC6">
      <w:pPr>
        <w:spacing w:line="360" w:lineRule="auto"/>
        <w:ind w:firstLine="420"/>
        <w:rPr>
          <w:rFonts w:hAnsi="宋体" w:cs="宋体"/>
        </w:rPr>
      </w:pPr>
      <w:r>
        <w:rPr>
          <w:rFonts w:hint="eastAsia" w:hAnsi="宋体" w:cs="宋体"/>
        </w:rPr>
        <w:t>（</w:t>
      </w:r>
      <w:r>
        <w:rPr>
          <w:rFonts w:hAnsi="宋体" w:cs="宋体"/>
        </w:rPr>
        <w:t>4</w:t>
      </w:r>
      <w:r>
        <w:rPr>
          <w:rFonts w:hint="eastAsia" w:hAnsi="宋体" w:cs="宋体"/>
        </w:rPr>
        <w:t>）响应文件中的资格证明文件出现任一项不符合“供应商须知前附表”资格证明文件规定的“必须提供”的文件资料要求或者无效的；</w:t>
      </w:r>
    </w:p>
    <w:p w14:paraId="0A3EEFEB">
      <w:pPr>
        <w:spacing w:line="360" w:lineRule="auto"/>
        <w:ind w:firstLine="420"/>
        <w:rPr>
          <w:rFonts w:hAnsi="宋体" w:cs="宋体"/>
        </w:rPr>
      </w:pPr>
      <w:r>
        <w:rPr>
          <w:rFonts w:hint="eastAsia" w:hAnsi="宋体" w:cs="宋体"/>
        </w:rPr>
        <w:t>（</w:t>
      </w:r>
      <w:r>
        <w:rPr>
          <w:rFonts w:hAnsi="宋体" w:cs="宋体"/>
        </w:rPr>
        <w:t>5</w:t>
      </w:r>
      <w:r>
        <w:rPr>
          <w:rFonts w:hint="eastAsia" w:hAnsi="宋体" w:cs="宋体"/>
        </w:rPr>
        <w:t>）同一合同项下的不同供应商，单位负责人为同一人或者存在直接控股、管理关系的；为本项目提供过整体设计、规范编制或者项目管理、监理、检测等服务的供应商，再参加该采购项目的其他采购活动的。</w:t>
      </w:r>
    </w:p>
    <w:p w14:paraId="37714E1C">
      <w:pPr>
        <w:spacing w:line="360" w:lineRule="auto"/>
        <w:ind w:firstLine="420"/>
        <w:rPr>
          <w:rFonts w:hAnsi="宋体" w:cs="宋体"/>
        </w:rPr>
      </w:pPr>
      <w:r>
        <w:rPr>
          <w:rFonts w:hAnsi="宋体" w:cs="宋体"/>
        </w:rPr>
        <w:t>1</w:t>
      </w:r>
      <w:r>
        <w:rPr>
          <w:rFonts w:hint="eastAsia" w:hAnsi="宋体" w:cs="宋体"/>
        </w:rPr>
        <w:t>.4通过资格审查的合格供应商不足3家的，不得进入符合性审查环节，</w:t>
      </w:r>
      <w:r>
        <w:rPr>
          <w:rFonts w:hint="eastAsia" w:hAnsi="宋体"/>
        </w:rPr>
        <w:t>采购人或者采购代理机构应当重新开展采购活动。</w:t>
      </w:r>
    </w:p>
    <w:p w14:paraId="3AD3613B">
      <w:pPr>
        <w:pStyle w:val="74"/>
        <w:spacing w:line="360" w:lineRule="auto"/>
        <w:ind w:firstLine="424"/>
      </w:pPr>
      <w:r>
        <w:t>2</w:t>
      </w:r>
      <w:r>
        <w:rPr>
          <w:rFonts w:hint="eastAsia"/>
        </w:rPr>
        <w:t>.符合性审查</w:t>
      </w:r>
    </w:p>
    <w:p w14:paraId="51A6EF98">
      <w:pPr>
        <w:spacing w:line="360" w:lineRule="auto"/>
        <w:ind w:firstLine="420"/>
        <w:rPr>
          <w:rFonts w:hAnsi="宋体" w:cs="宋体"/>
        </w:rPr>
      </w:pPr>
      <w:bookmarkStart w:id="32" w:name="_Hlk42528882"/>
      <w:r>
        <w:rPr>
          <w:rFonts w:hAnsi="宋体" w:cs="宋体"/>
        </w:rPr>
        <w:t>2.1</w:t>
      </w:r>
      <w:r>
        <w:rPr>
          <w:rFonts w:hint="eastAsia" w:hAnsi="宋体" w:cs="宋体"/>
        </w:rPr>
        <w:t>由磋商小组对</w:t>
      </w:r>
      <w:r>
        <w:rPr>
          <w:rFonts w:hint="eastAsia" w:hAnsi="宋体"/>
        </w:rPr>
        <w:t>通过资格审查的合格供应商</w:t>
      </w:r>
      <w:r>
        <w:rPr>
          <w:rFonts w:hint="eastAsia" w:hAnsi="宋体" w:cs="宋体"/>
        </w:rPr>
        <w:t>的响应文件的竞标报价、商务、技术等实质性要求进行符合性审查，以确定其是否满足磋商文件的实质性要求。</w:t>
      </w:r>
    </w:p>
    <w:bookmarkEnd w:id="32"/>
    <w:p w14:paraId="52D76662">
      <w:pPr>
        <w:spacing w:line="360" w:lineRule="auto"/>
        <w:ind w:firstLine="420"/>
        <w:rPr>
          <w:rFonts w:hAnsi="宋体" w:cs="宋体"/>
        </w:rPr>
      </w:pPr>
      <w:r>
        <w:rPr>
          <w:rFonts w:hAnsi="宋体" w:cs="宋体"/>
        </w:rPr>
        <w:t>2.2</w:t>
      </w:r>
      <w:r>
        <w:rPr>
          <w:rFonts w:hint="eastAsia" w:hAnsi="宋体" w:cs="宋体"/>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63D481">
      <w:pPr>
        <w:spacing w:line="360" w:lineRule="auto"/>
        <w:ind w:firstLine="420"/>
        <w:rPr>
          <w:rFonts w:hAnsi="宋体" w:cs="宋体"/>
          <w:spacing w:val="-6"/>
        </w:rPr>
      </w:pPr>
      <w:r>
        <w:rPr>
          <w:rFonts w:hAnsi="宋体" w:cs="宋体"/>
        </w:rPr>
        <w:t>2</w:t>
      </w:r>
      <w:r>
        <w:rPr>
          <w:rFonts w:hint="eastAsia" w:hAnsi="宋体" w:cs="宋体"/>
        </w:rPr>
        <w:t>.</w:t>
      </w:r>
      <w:r>
        <w:rPr>
          <w:rFonts w:hAnsi="宋体" w:cs="宋体"/>
        </w:rPr>
        <w:t>3</w:t>
      </w:r>
      <w:r>
        <w:rPr>
          <w:rFonts w:hint="eastAsia" w:hAnsi="宋体" w:cs="宋体"/>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hAnsi="宋体" w:cs="宋体"/>
          <w:bCs/>
        </w:rPr>
        <w:t>若委托代理人不是响应文件中授权的委托代理人时，必须同时出示有效的授权委托书原件</w:t>
      </w:r>
      <w:r>
        <w:rPr>
          <w:rFonts w:hint="eastAsia" w:hAnsi="宋体" w:cs="宋体"/>
          <w:spacing w:val="-6"/>
        </w:rPr>
        <w:t>。供应商为自然人的，必须由本人签字并附身份证明。</w:t>
      </w:r>
    </w:p>
    <w:p w14:paraId="4BBE3697">
      <w:pPr>
        <w:spacing w:line="360" w:lineRule="auto"/>
        <w:ind w:firstLine="396"/>
        <w:rPr>
          <w:rFonts w:hAnsi="宋体" w:cs="宋体"/>
        </w:rPr>
      </w:pPr>
      <w:r>
        <w:rPr>
          <w:rFonts w:hAnsi="宋体" w:cs="宋体"/>
          <w:spacing w:val="-6"/>
        </w:rPr>
        <w:t>2.4</w:t>
      </w:r>
      <w:r>
        <w:rPr>
          <w:rFonts w:hint="eastAsia" w:hAnsi="宋体" w:cs="宋体"/>
        </w:rPr>
        <w:t xml:space="preserve">首次响应文件报价出现前后不一致的，按照下列规定修正： </w:t>
      </w:r>
    </w:p>
    <w:p w14:paraId="37FCCBF9">
      <w:pPr>
        <w:spacing w:line="360" w:lineRule="auto"/>
        <w:ind w:firstLine="420"/>
        <w:rPr>
          <w:rFonts w:hAnsi="宋体" w:cs="宋体"/>
        </w:rPr>
      </w:pPr>
      <w:r>
        <w:rPr>
          <w:rFonts w:hint="eastAsia" w:hAnsi="宋体" w:cs="宋体"/>
        </w:rPr>
        <w:t>（1）响应文件中报价表内容与响应文件中相应内容不一致的，以报价表为准；</w:t>
      </w:r>
    </w:p>
    <w:p w14:paraId="40DBFBFE">
      <w:pPr>
        <w:spacing w:line="360" w:lineRule="auto"/>
        <w:ind w:firstLine="420"/>
        <w:rPr>
          <w:rFonts w:hAnsi="宋体" w:cs="宋体"/>
        </w:rPr>
      </w:pPr>
      <w:r>
        <w:rPr>
          <w:rFonts w:hint="eastAsia" w:hAnsi="宋体" w:cs="宋体"/>
        </w:rPr>
        <w:t>（2）大写金额和小写金额不一致的，以大写金额为准；</w:t>
      </w:r>
    </w:p>
    <w:p w14:paraId="28DCF84D">
      <w:pPr>
        <w:spacing w:line="360" w:lineRule="auto"/>
        <w:ind w:firstLine="420"/>
        <w:rPr>
          <w:rFonts w:hAnsi="宋体" w:cs="宋体"/>
        </w:rPr>
      </w:pPr>
      <w:r>
        <w:rPr>
          <w:rFonts w:hint="eastAsia" w:hAnsi="宋体" w:cs="宋体"/>
        </w:rPr>
        <w:t>（3）单价金额小数点或者百分比有明显错位的，以报价表的总价为准，并修改单价；</w:t>
      </w:r>
    </w:p>
    <w:p w14:paraId="45692031">
      <w:pPr>
        <w:spacing w:line="360" w:lineRule="auto"/>
        <w:ind w:firstLine="420"/>
        <w:rPr>
          <w:rFonts w:hAnsi="宋体" w:cs="宋体"/>
        </w:rPr>
      </w:pPr>
      <w:r>
        <w:rPr>
          <w:rFonts w:hint="eastAsia" w:hAnsi="宋体" w:cs="宋体"/>
        </w:rPr>
        <w:t>（4）总价金额与按单价汇总金额不一致的，以单价金额计算结果为准。</w:t>
      </w:r>
    </w:p>
    <w:p w14:paraId="407669D6">
      <w:pPr>
        <w:spacing w:line="360" w:lineRule="auto"/>
        <w:ind w:firstLine="420"/>
        <w:rPr>
          <w:rFonts w:hAnsi="宋体" w:cs="宋体"/>
        </w:rPr>
      </w:pPr>
      <w:r>
        <w:rPr>
          <w:rFonts w:hint="eastAsia" w:hAnsi="宋体" w:cs="宋体"/>
        </w:rPr>
        <w:t>同时出现两种以上不一致的，按照以上（1）-（4）规定的顺序逐条进行修正。修正后的报价经供应商确认后产生约束力，供应商不确认的，其响应文件按无效响应处理。</w:t>
      </w:r>
    </w:p>
    <w:p w14:paraId="1B088C8F">
      <w:pPr>
        <w:spacing w:line="360" w:lineRule="auto"/>
        <w:ind w:firstLine="420"/>
        <w:rPr>
          <w:rFonts w:hAnsi="宋体" w:cs="宋体"/>
        </w:rPr>
      </w:pPr>
      <w:r>
        <w:rPr>
          <w:rFonts w:hAnsi="宋体" w:cs="宋体"/>
        </w:rPr>
        <w:t>2</w:t>
      </w:r>
      <w:r>
        <w:rPr>
          <w:rFonts w:hint="eastAsia" w:hAnsi="宋体" w:cs="宋体"/>
        </w:rPr>
        <w:t>.</w:t>
      </w:r>
      <w:r>
        <w:rPr>
          <w:rFonts w:hAnsi="宋体" w:cs="宋体"/>
        </w:rPr>
        <w:t>5</w:t>
      </w:r>
      <w:r>
        <w:rPr>
          <w:rFonts w:hint="eastAsia" w:hAnsi="宋体" w:cs="宋体"/>
        </w:rPr>
        <w:t>商务技术报价评审</w:t>
      </w:r>
    </w:p>
    <w:p w14:paraId="5B76499B">
      <w:pPr>
        <w:spacing w:line="360" w:lineRule="auto"/>
        <w:ind w:firstLine="420"/>
        <w:rPr>
          <w:rFonts w:hAnsi="宋体" w:cs="宋体"/>
        </w:rPr>
      </w:pPr>
      <w:r>
        <w:rPr>
          <w:rFonts w:hint="eastAsia" w:hAnsi="宋体" w:cs="宋体"/>
        </w:rPr>
        <w:t>在评审时，如发现下列情形之一的，将被视为响应文件无效处理：</w:t>
      </w:r>
    </w:p>
    <w:p w14:paraId="10CF9B52">
      <w:pPr>
        <w:spacing w:line="360" w:lineRule="auto"/>
        <w:ind w:firstLine="420"/>
        <w:rPr>
          <w:rFonts w:hAnsi="宋体" w:cs="宋体"/>
        </w:rPr>
      </w:pPr>
      <w:r>
        <w:rPr>
          <w:rFonts w:hint="eastAsia" w:hAnsi="宋体" w:cs="宋体"/>
        </w:rPr>
        <w:t>（1）商务技术评审</w:t>
      </w:r>
    </w:p>
    <w:p w14:paraId="3CACBEA2">
      <w:pPr>
        <w:spacing w:line="360" w:lineRule="auto"/>
        <w:ind w:firstLine="420"/>
        <w:rPr>
          <w:rFonts w:hAnsi="宋体" w:cs="宋体"/>
        </w:rPr>
      </w:pPr>
      <w:r>
        <w:rPr>
          <w:rFonts w:hint="eastAsia" w:hAnsi="宋体" w:cs="宋体"/>
        </w:rPr>
        <w:t>1）提供响应文件正、副本数量不足；</w:t>
      </w:r>
    </w:p>
    <w:p w14:paraId="4A7C5F9E">
      <w:pPr>
        <w:spacing w:line="360" w:lineRule="auto"/>
        <w:ind w:firstLine="420"/>
        <w:rPr>
          <w:rFonts w:hAnsi="宋体" w:cs="宋体"/>
        </w:rPr>
      </w:pPr>
      <w:r>
        <w:rPr>
          <w:rFonts w:hint="eastAsia" w:hAnsi="宋体" w:cs="宋体"/>
        </w:rPr>
        <w:t>2）响应文件未按磋商文件要求签署、盖章；</w:t>
      </w:r>
    </w:p>
    <w:p w14:paraId="0D754E5B">
      <w:pPr>
        <w:spacing w:line="360" w:lineRule="auto"/>
        <w:ind w:firstLine="420"/>
        <w:rPr>
          <w:rFonts w:hAnsi="宋体" w:cs="宋体"/>
        </w:rPr>
      </w:pPr>
      <w:r>
        <w:rPr>
          <w:rFonts w:hint="eastAsia" w:hAnsi="宋体" w:cs="宋体"/>
        </w:rPr>
        <w:t xml:space="preserve">3）委托代理人未能出具有效身份证或者出具的身份证与授权委托书中的信息不符的； </w:t>
      </w:r>
    </w:p>
    <w:p w14:paraId="2CC4D301">
      <w:pPr>
        <w:spacing w:line="360" w:lineRule="auto"/>
        <w:ind w:firstLine="420"/>
        <w:rPr>
          <w:rFonts w:hAnsi="宋体" w:cs="宋体"/>
        </w:rPr>
      </w:pPr>
      <w:r>
        <w:rPr>
          <w:rFonts w:hint="eastAsia" w:hAnsi="宋体" w:cs="宋体"/>
        </w:rPr>
        <w:t>4）提交的磋商保证金无效的或者未按照磋商文件的规定提交磋商保证金；</w:t>
      </w:r>
    </w:p>
    <w:p w14:paraId="1CE8F21F">
      <w:pPr>
        <w:spacing w:line="360" w:lineRule="auto"/>
        <w:ind w:firstLine="420"/>
        <w:rPr>
          <w:rFonts w:hAnsi="宋体" w:cs="宋体"/>
        </w:rPr>
      </w:pPr>
      <w:r>
        <w:rPr>
          <w:rFonts w:hint="eastAsia" w:hAnsi="宋体" w:cs="宋体"/>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63D870B3">
      <w:pPr>
        <w:spacing w:line="360" w:lineRule="auto"/>
        <w:ind w:firstLine="420"/>
        <w:rPr>
          <w:rFonts w:hAnsi="宋体" w:cs="宋体"/>
        </w:rPr>
      </w:pPr>
      <w:r>
        <w:rPr>
          <w:rFonts w:hAnsi="宋体" w:cs="宋体"/>
        </w:rPr>
        <w:t>6</w:t>
      </w:r>
      <w:r>
        <w:rPr>
          <w:rFonts w:hint="eastAsia" w:hAnsi="宋体" w:cs="宋体"/>
        </w:rPr>
        <w:t>）商务要求允许负偏离的条款数超过第三章“项目需求”说明规定项数的；</w:t>
      </w:r>
    </w:p>
    <w:p w14:paraId="42D7B286">
      <w:pPr>
        <w:spacing w:line="360" w:lineRule="auto"/>
        <w:ind w:firstLine="420"/>
        <w:rPr>
          <w:rFonts w:hAnsi="宋体" w:cs="宋体"/>
        </w:rPr>
      </w:pPr>
      <w:r>
        <w:rPr>
          <w:rFonts w:hAnsi="宋体" w:cs="宋体"/>
        </w:rPr>
        <w:t>7</w:t>
      </w:r>
      <w:r>
        <w:rPr>
          <w:rFonts w:hint="eastAsia" w:hAnsi="宋体" w:cs="宋体"/>
        </w:rPr>
        <w:t>）未对竞标有效期作出响应或者响应文件承诺的竞标有效期不满足磋商文件要求；</w:t>
      </w:r>
    </w:p>
    <w:p w14:paraId="3CB9482E">
      <w:pPr>
        <w:spacing w:line="360" w:lineRule="auto"/>
        <w:ind w:firstLine="420"/>
        <w:rPr>
          <w:rFonts w:hAnsi="宋体" w:cs="宋体"/>
        </w:rPr>
      </w:pPr>
      <w:r>
        <w:rPr>
          <w:rFonts w:hAnsi="宋体" w:cs="宋体"/>
        </w:rPr>
        <w:t>8</w:t>
      </w:r>
      <w:r>
        <w:rPr>
          <w:rFonts w:hint="eastAsia" w:hAnsi="宋体" w:cs="宋体"/>
        </w:rPr>
        <w:t>）响应文件的实质性内容未使用中文表述、使用计量单位不符合磋商文件要求；</w:t>
      </w:r>
    </w:p>
    <w:p w14:paraId="5260AF4E">
      <w:pPr>
        <w:spacing w:line="360" w:lineRule="auto"/>
        <w:ind w:firstLine="420"/>
        <w:rPr>
          <w:rFonts w:hAnsi="宋体" w:cs="宋体"/>
        </w:rPr>
      </w:pPr>
      <w:r>
        <w:rPr>
          <w:rFonts w:hAnsi="宋体" w:cs="宋体"/>
        </w:rPr>
        <w:t>9</w:t>
      </w:r>
      <w:r>
        <w:rPr>
          <w:rFonts w:hint="eastAsia" w:hAnsi="宋体" w:cs="宋体"/>
        </w:rPr>
        <w:t>）响应文件中的文件资料因填写不齐全或者内容虚假或者出现其他情形而导致被磋商小组认定无效；</w:t>
      </w:r>
    </w:p>
    <w:p w14:paraId="3925D714">
      <w:pPr>
        <w:spacing w:line="360" w:lineRule="auto"/>
        <w:ind w:firstLine="420"/>
        <w:rPr>
          <w:rFonts w:hAnsi="宋体" w:cs="宋体"/>
        </w:rPr>
      </w:pPr>
      <w:r>
        <w:rPr>
          <w:rFonts w:hAnsi="宋体" w:cs="宋体"/>
        </w:rPr>
        <w:t>10</w:t>
      </w:r>
      <w:r>
        <w:rPr>
          <w:rFonts w:hint="eastAsia" w:hAnsi="宋体" w:cs="宋体"/>
        </w:rPr>
        <w:t>）响应文件含有采购人不能接受的附加条件；</w:t>
      </w:r>
    </w:p>
    <w:p w14:paraId="1B08DE98">
      <w:pPr>
        <w:spacing w:line="360" w:lineRule="auto"/>
        <w:ind w:firstLine="420"/>
        <w:rPr>
          <w:rFonts w:hAnsi="宋体" w:cs="宋体"/>
        </w:rPr>
      </w:pPr>
      <w:r>
        <w:rPr>
          <w:rFonts w:hAnsi="宋体" w:cs="宋体"/>
        </w:rPr>
        <w:t>1</w:t>
      </w:r>
      <w:r>
        <w:rPr>
          <w:rFonts w:hint="eastAsia" w:hAnsi="宋体" w:cs="宋体"/>
        </w:rPr>
        <w:t>1）技术要求允许负偏离的条款数超过第三章“项目需求”说明”规定项数；</w:t>
      </w:r>
    </w:p>
    <w:p w14:paraId="76FFB802">
      <w:pPr>
        <w:spacing w:line="360" w:lineRule="auto"/>
        <w:ind w:firstLine="420"/>
        <w:rPr>
          <w:rFonts w:hAnsi="宋体" w:cs="宋体"/>
        </w:rPr>
      </w:pPr>
      <w:r>
        <w:rPr>
          <w:rFonts w:hAnsi="宋体" w:cs="宋体"/>
        </w:rPr>
        <w:t>1</w:t>
      </w:r>
      <w:r>
        <w:rPr>
          <w:rFonts w:hint="eastAsia" w:hAnsi="宋体" w:cs="宋体"/>
        </w:rPr>
        <w:t>2）虚假竞标，或者出现其他情形而导致被磋商小组认定无效；</w:t>
      </w:r>
    </w:p>
    <w:p w14:paraId="02C1639F">
      <w:pPr>
        <w:spacing w:line="360" w:lineRule="auto"/>
        <w:ind w:firstLine="420"/>
        <w:rPr>
          <w:rFonts w:hAnsi="宋体" w:cs="宋体"/>
        </w:rPr>
      </w:pPr>
      <w:r>
        <w:rPr>
          <w:rFonts w:hAnsi="宋体" w:cs="宋体"/>
        </w:rPr>
        <w:t>1</w:t>
      </w:r>
      <w:r>
        <w:rPr>
          <w:rFonts w:hint="eastAsia" w:hAnsi="宋体" w:cs="宋体"/>
        </w:rPr>
        <w:t>3）</w:t>
      </w:r>
      <w:bookmarkStart w:id="33" w:name="_Hlk71704147"/>
      <w:r>
        <w:rPr>
          <w:rFonts w:hint="eastAsia" w:hAnsi="宋体" w:cs="宋体"/>
        </w:rPr>
        <w:t>磋商文件未载明允许提供备选（替代）竞标方案或明确不允许提供备选（替代）竞标方案时，供应商提供了备选（替代）竞标方案的；</w:t>
      </w:r>
      <w:bookmarkEnd w:id="33"/>
    </w:p>
    <w:p w14:paraId="2E7107B5">
      <w:pPr>
        <w:spacing w:line="360" w:lineRule="auto"/>
        <w:ind w:firstLine="420"/>
        <w:rPr>
          <w:rFonts w:hAnsi="宋体" w:cs="宋体"/>
        </w:rPr>
      </w:pPr>
      <w:r>
        <w:rPr>
          <w:rFonts w:hAnsi="宋体" w:cs="宋体"/>
        </w:rPr>
        <w:t>1</w:t>
      </w:r>
      <w:r>
        <w:rPr>
          <w:rFonts w:hint="eastAsia" w:hAnsi="宋体" w:cs="宋体"/>
        </w:rPr>
        <w:t>4）响应文件标注的项目名称或者项目编号与磋商文件标注的项目名称或者项目编号不一致的；</w:t>
      </w:r>
    </w:p>
    <w:p w14:paraId="6FA899E5">
      <w:pPr>
        <w:spacing w:line="360" w:lineRule="auto"/>
        <w:ind w:firstLine="420"/>
        <w:rPr>
          <w:rFonts w:hAnsi="宋体" w:cs="宋体"/>
        </w:rPr>
      </w:pPr>
      <w:r>
        <w:rPr>
          <w:rFonts w:hAnsi="宋体" w:cs="宋体"/>
        </w:rPr>
        <w:t>1</w:t>
      </w:r>
      <w:r>
        <w:rPr>
          <w:rFonts w:hint="eastAsia" w:hAnsi="宋体" w:cs="宋体"/>
        </w:rPr>
        <w:t>5）竞争性磋商文件明确不允许分包，响应文件拟分包的；</w:t>
      </w:r>
    </w:p>
    <w:p w14:paraId="052974B0">
      <w:pPr>
        <w:spacing w:line="360" w:lineRule="auto"/>
        <w:ind w:firstLine="420"/>
        <w:rPr>
          <w:rFonts w:hAnsi="宋体" w:cs="宋体"/>
        </w:rPr>
      </w:pPr>
      <w:r>
        <w:rPr>
          <w:rFonts w:hAnsi="宋体" w:cs="宋体"/>
        </w:rPr>
        <w:t>1</w:t>
      </w:r>
      <w:r>
        <w:rPr>
          <w:rFonts w:hint="eastAsia" w:hAnsi="宋体" w:cs="宋体"/>
        </w:rPr>
        <w:t>6）未响应磋商文件实质性要求；</w:t>
      </w:r>
    </w:p>
    <w:p w14:paraId="7A27E488">
      <w:pPr>
        <w:spacing w:line="360" w:lineRule="auto"/>
        <w:ind w:firstLine="420"/>
        <w:rPr>
          <w:rFonts w:hAnsi="宋体" w:cs="宋体"/>
        </w:rPr>
      </w:pPr>
      <w:r>
        <w:rPr>
          <w:rFonts w:hint="eastAsia" w:hAnsi="宋体" w:cs="宋体"/>
        </w:rPr>
        <w:t>17）法律、法规和磋商文件规定的其他无效情形。</w:t>
      </w:r>
    </w:p>
    <w:p w14:paraId="6716540F">
      <w:pPr>
        <w:spacing w:line="360" w:lineRule="auto"/>
        <w:ind w:firstLine="420"/>
      </w:pPr>
      <w:r>
        <w:rPr>
          <w:rFonts w:hint="eastAsia" w:hAnsi="宋体" w:cs="宋体"/>
        </w:rPr>
        <w:t>18）属于第二章“磋商须知”第19条“特别说明”第4项情形的。</w:t>
      </w:r>
    </w:p>
    <w:p w14:paraId="504B535B">
      <w:pPr>
        <w:spacing w:line="360" w:lineRule="auto"/>
        <w:ind w:firstLine="420"/>
        <w:rPr>
          <w:rFonts w:hAnsi="宋体" w:cs="宋体"/>
        </w:rPr>
      </w:pPr>
      <w:r>
        <w:rPr>
          <w:rFonts w:hint="eastAsia" w:hAnsi="宋体" w:cs="宋体"/>
        </w:rPr>
        <w:t>（</w:t>
      </w:r>
      <w:r>
        <w:rPr>
          <w:rFonts w:hAnsi="宋体" w:cs="宋体"/>
        </w:rPr>
        <w:t>2</w:t>
      </w:r>
      <w:r>
        <w:rPr>
          <w:rFonts w:hint="eastAsia" w:hAnsi="宋体" w:cs="宋体"/>
        </w:rPr>
        <w:t>）报价评审</w:t>
      </w:r>
    </w:p>
    <w:p w14:paraId="381D0C5F">
      <w:pPr>
        <w:spacing w:line="360" w:lineRule="auto"/>
        <w:ind w:firstLine="420"/>
        <w:rPr>
          <w:rFonts w:hAnsi="宋体" w:cs="宋体"/>
        </w:rPr>
      </w:pPr>
      <w:r>
        <w:rPr>
          <w:rFonts w:hint="eastAsia" w:hAnsi="宋体" w:cs="宋体"/>
        </w:rPr>
        <w:t>1)</w:t>
      </w:r>
      <w:r>
        <w:rPr>
          <w:rFonts w:hAnsi="宋体" w:cs="宋体"/>
        </w:rPr>
        <w:t xml:space="preserve"> </w:t>
      </w:r>
      <w:r>
        <w:rPr>
          <w:rFonts w:hint="eastAsia" w:hAnsi="宋体" w:cs="宋体"/>
        </w:rPr>
        <w:t>响应文件未提供“供应商须知前附表” 报价商务技术文件中规定的“报价表”；</w:t>
      </w:r>
    </w:p>
    <w:p w14:paraId="63012364">
      <w:pPr>
        <w:spacing w:line="360" w:lineRule="auto"/>
        <w:ind w:firstLine="420"/>
        <w:rPr>
          <w:rFonts w:hAnsi="宋体" w:cs="宋体"/>
        </w:rPr>
      </w:pPr>
      <w:r>
        <w:rPr>
          <w:rFonts w:hint="eastAsia" w:hAnsi="宋体" w:cs="宋体"/>
        </w:rPr>
        <w:t>2）未采用人民币报价或者未按照磋商文件标明的币种报价；</w:t>
      </w:r>
    </w:p>
    <w:p w14:paraId="51FC856D">
      <w:pPr>
        <w:spacing w:line="360" w:lineRule="auto"/>
        <w:ind w:firstLine="420"/>
        <w:rPr>
          <w:rFonts w:hAnsi="宋体" w:cs="宋体"/>
        </w:rPr>
      </w:pPr>
      <w:r>
        <w:rPr>
          <w:rFonts w:hint="eastAsia" w:hAnsi="宋体" w:cs="宋体"/>
        </w:rPr>
        <w:t>3）供应商未就所竞标分标进行报价或者存在漏项报价；供应商未就所竞标分标的单项内容作完整唯一报价；供应商未就所竞标分标的全部内容作唯一总价报价；供应商响应文件中存在有选择、有条件报价的（磋商文件允许有备选方案或者其他约定的除外）；</w:t>
      </w:r>
    </w:p>
    <w:p w14:paraId="1A825A01">
      <w:pPr>
        <w:spacing w:line="360" w:lineRule="auto"/>
        <w:ind w:firstLine="420"/>
        <w:rPr>
          <w:rFonts w:hAnsi="宋体" w:cs="宋体"/>
        </w:rPr>
      </w:pPr>
      <w:r>
        <w:rPr>
          <w:rFonts w:hint="eastAsia" w:hAnsi="宋体" w:cs="宋体"/>
        </w:rPr>
        <w:t>4）竞标报价（包含首次报价、最后报价）超过所竞标分标规定的采购预算金额或者最高限价的（如本项目公布了最高限价）；</w:t>
      </w:r>
      <w:bookmarkStart w:id="34" w:name="_Hlk42596405"/>
      <w:r>
        <w:rPr>
          <w:rFonts w:hint="eastAsia" w:hAnsi="宋体" w:cs="宋体"/>
        </w:rPr>
        <w:t>竞标报价（包含首次报价、最后报价）</w:t>
      </w:r>
      <w:bookmarkEnd w:id="34"/>
      <w:bookmarkStart w:id="35" w:name="_Hlk42596276"/>
      <w:r>
        <w:rPr>
          <w:rFonts w:hint="eastAsia" w:hAnsi="宋体" w:cs="宋体"/>
        </w:rPr>
        <w:t>超过磋商文件分项采购预算金额或者最高限价的</w:t>
      </w:r>
      <w:bookmarkEnd w:id="35"/>
      <w:r>
        <w:rPr>
          <w:rFonts w:hint="eastAsia" w:hAnsi="宋体" w:cs="宋体"/>
        </w:rPr>
        <w:t>（如本项目公布了最高限价）；</w:t>
      </w:r>
    </w:p>
    <w:p w14:paraId="07C2BB9F">
      <w:pPr>
        <w:spacing w:line="360" w:lineRule="auto"/>
        <w:ind w:firstLine="420"/>
        <w:rPr>
          <w:rFonts w:hAnsi="宋体" w:cs="宋体"/>
        </w:rPr>
      </w:pPr>
      <w:r>
        <w:rPr>
          <w:rFonts w:hint="eastAsia" w:hAnsi="宋体" w:cs="宋体"/>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5C51302">
      <w:pPr>
        <w:spacing w:line="360" w:lineRule="auto"/>
        <w:ind w:firstLine="420"/>
        <w:rPr>
          <w:rFonts w:hAnsi="宋体" w:cs="宋体"/>
        </w:rPr>
      </w:pPr>
      <w:r>
        <w:rPr>
          <w:rFonts w:hint="eastAsia" w:hAnsi="宋体" w:cs="宋体"/>
        </w:rPr>
        <w:t>6）</w:t>
      </w:r>
      <w:r>
        <w:rPr>
          <w:rFonts w:hint="eastAsia" w:hAnsi="宋体"/>
        </w:rPr>
        <w:t>响应文件响应的标的数量及单位与竞争性磋商文件要求实质性不一致的。</w:t>
      </w:r>
    </w:p>
    <w:p w14:paraId="660C65A5">
      <w:pPr>
        <w:spacing w:line="360" w:lineRule="auto"/>
        <w:ind w:firstLine="420"/>
        <w:rPr>
          <w:rFonts w:hAnsi="宋体" w:cs="宋体"/>
        </w:rPr>
      </w:pPr>
      <w:r>
        <w:rPr>
          <w:rFonts w:hAnsi="宋体" w:cs="宋体"/>
        </w:rPr>
        <w:t>2.6</w:t>
      </w:r>
      <w:r>
        <w:rPr>
          <w:rFonts w:hint="eastAsia" w:hAnsi="宋体" w:cs="宋体"/>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B45628E">
      <w:pPr>
        <w:spacing w:line="360" w:lineRule="auto"/>
        <w:ind w:firstLine="420"/>
        <w:rPr>
          <w:rFonts w:hAnsi="宋体" w:cs="宋体"/>
        </w:rPr>
      </w:pPr>
      <w:r>
        <w:rPr>
          <w:rFonts w:hAnsi="宋体" w:cs="宋体"/>
        </w:rPr>
        <w:t>2.7</w:t>
      </w:r>
      <w:r>
        <w:rPr>
          <w:rFonts w:hint="eastAsia" w:hAnsi="宋体"/>
        </w:rPr>
        <w:t>通过符合性审查的合格供应商不足3家的，不得进入磋商环节，采购人或者采购代理机构应当重新开展采购活动。</w:t>
      </w:r>
    </w:p>
    <w:p w14:paraId="12B9367E">
      <w:pPr>
        <w:pStyle w:val="74"/>
        <w:spacing w:line="360" w:lineRule="auto"/>
        <w:ind w:firstLine="424"/>
      </w:pPr>
      <w:r>
        <w:t>3</w:t>
      </w:r>
      <w:r>
        <w:rPr>
          <w:rFonts w:hint="eastAsia"/>
        </w:rPr>
        <w:t>.磋商程序</w:t>
      </w:r>
    </w:p>
    <w:p w14:paraId="136FF382">
      <w:pPr>
        <w:spacing w:line="360" w:lineRule="auto"/>
        <w:ind w:firstLine="420"/>
        <w:rPr>
          <w:rFonts w:hAnsi="宋体" w:cs="宋体"/>
          <w:kern w:val="0"/>
        </w:rPr>
      </w:pPr>
      <w:r>
        <w:rPr>
          <w:rFonts w:hint="eastAsia" w:hAnsi="宋体" w:cs="宋体"/>
          <w:kern w:val="0"/>
        </w:rPr>
        <w:t>3</w:t>
      </w:r>
      <w:r>
        <w:rPr>
          <w:rFonts w:hAnsi="宋体" w:cs="宋体"/>
          <w:kern w:val="0"/>
        </w:rPr>
        <w:t>.1</w:t>
      </w:r>
      <w:r>
        <w:rPr>
          <w:rFonts w:hint="eastAsia" w:hAnsi="宋体" w:cs="宋体"/>
          <w:kern w:val="0"/>
        </w:rPr>
        <w:t>磋商小组按照随机的</w:t>
      </w:r>
      <w:r>
        <w:rPr>
          <w:rFonts w:hint="eastAsia" w:hAnsi="宋体" w:cs="宋体"/>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2A75000">
      <w:pPr>
        <w:spacing w:line="360" w:lineRule="auto"/>
        <w:ind w:firstLine="420"/>
        <w:rPr>
          <w:rFonts w:hAnsi="宋体" w:cs="宋体"/>
        </w:rPr>
      </w:pPr>
      <w:r>
        <w:rPr>
          <w:rFonts w:hAnsi="宋体" w:cs="宋体"/>
        </w:rPr>
        <w:t>3.2</w:t>
      </w:r>
      <w:r>
        <w:rPr>
          <w:rFonts w:hint="eastAsia" w:hAnsi="宋体" w:cs="宋体"/>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60A18B9">
      <w:pPr>
        <w:spacing w:line="360" w:lineRule="auto"/>
        <w:ind w:firstLine="420"/>
        <w:rPr>
          <w:rFonts w:hAnsi="宋体" w:cs="宋体"/>
        </w:rPr>
      </w:pPr>
      <w:r>
        <w:rPr>
          <w:rFonts w:hAnsi="宋体" w:cs="宋体"/>
        </w:rPr>
        <w:t>3.3</w:t>
      </w:r>
      <w:r>
        <w:rPr>
          <w:rFonts w:hint="eastAsia" w:hAnsi="宋体" w:cs="宋体"/>
        </w:rPr>
        <w:t>对磋商文件作出的实质性变动是磋商文件的有效组成部分，由磋商小组及时以书面形式同时通知所有参加磋商的供应商。</w:t>
      </w:r>
    </w:p>
    <w:p w14:paraId="75A1795D">
      <w:pPr>
        <w:spacing w:line="360" w:lineRule="auto"/>
        <w:ind w:firstLine="420"/>
        <w:rPr>
          <w:rFonts w:hAnsi="宋体" w:cs="宋体"/>
        </w:rPr>
      </w:pPr>
      <w:r>
        <w:rPr>
          <w:rFonts w:hAnsi="宋体" w:cs="宋体"/>
        </w:rPr>
        <w:t>3.4</w:t>
      </w:r>
      <w:r>
        <w:rPr>
          <w:rFonts w:hint="eastAsia" w:hAnsi="宋体" w:cs="宋体"/>
        </w:rPr>
        <w:t>供应商必须按照磋商文件的变动情况和磋商小组的要求重新提交响应文件，并由其法定代表人或者授权代表签字或者加盖公章。由委托代理人签字的，</w:t>
      </w:r>
      <w:r>
        <w:rPr>
          <w:rFonts w:hint="eastAsia" w:hAnsi="宋体" w:cs="宋体"/>
          <w:bCs/>
        </w:rPr>
        <w:t>若委托代理人不是响应文件中授权的委托代理人时，必须同时出示有效的授权委托书原件</w:t>
      </w:r>
      <w:r>
        <w:rPr>
          <w:rFonts w:hint="eastAsia" w:hAnsi="宋体" w:cs="宋体"/>
        </w:rPr>
        <w:t>。供应商为自然人的，必须由本人签字并附身份证明。参加磋商的供应商未在规定时间内重新提交响应文件的，视同退出磋商。</w:t>
      </w:r>
    </w:p>
    <w:p w14:paraId="06CFD379">
      <w:pPr>
        <w:spacing w:line="360" w:lineRule="auto"/>
        <w:ind w:firstLine="420"/>
        <w:rPr>
          <w:rFonts w:hAnsi="宋体" w:cs="宋体"/>
        </w:rPr>
      </w:pPr>
      <w:r>
        <w:rPr>
          <w:rFonts w:hAnsi="宋体" w:cs="宋体"/>
        </w:rPr>
        <w:t>3.5</w:t>
      </w:r>
      <w:r>
        <w:rPr>
          <w:rFonts w:hint="eastAsia" w:hAnsi="宋体" w:cs="宋体"/>
        </w:rPr>
        <w:t>磋商中，</w:t>
      </w:r>
      <w:r>
        <w:rPr>
          <w:rFonts w:hint="eastAsia" w:hAnsi="宋体" w:cs="宋体"/>
          <w:spacing w:val="-6"/>
        </w:rPr>
        <w:t>磋商的任何一方不得透露与磋商有关的其他供应商的技术资料、价格和其他信息。</w:t>
      </w:r>
    </w:p>
    <w:p w14:paraId="3B2F1369">
      <w:pPr>
        <w:tabs>
          <w:tab w:val="left" w:pos="540"/>
        </w:tabs>
        <w:spacing w:line="360" w:lineRule="auto"/>
        <w:ind w:firstLine="420"/>
        <w:rPr>
          <w:rFonts w:hAnsi="宋体" w:cs="宋体"/>
        </w:rPr>
      </w:pPr>
      <w:r>
        <w:rPr>
          <w:rFonts w:hAnsi="宋体" w:cs="宋体"/>
        </w:rPr>
        <w:t>3.6</w:t>
      </w:r>
      <w:r>
        <w:rPr>
          <w:rFonts w:hint="eastAsia" w:hAnsi="宋体" w:cs="宋体"/>
        </w:rPr>
        <w:t>采购代理机构对磋商过程和重要磋商内容进行记录，磋商双方在记录上签字确认。</w:t>
      </w:r>
    </w:p>
    <w:p w14:paraId="6F059201">
      <w:pPr>
        <w:tabs>
          <w:tab w:val="left" w:pos="540"/>
        </w:tabs>
        <w:spacing w:line="360" w:lineRule="auto"/>
        <w:ind w:firstLine="420"/>
        <w:rPr>
          <w:rFonts w:hAnsi="宋体" w:cs="宋体"/>
        </w:rPr>
      </w:pPr>
      <w:r>
        <w:rPr>
          <w:rFonts w:hAnsi="宋体" w:cs="宋体"/>
        </w:rPr>
        <w:t>3.7</w:t>
      </w:r>
      <w:r>
        <w:rPr>
          <w:rFonts w:hint="eastAsia" w:hAnsi="宋体" w:cs="宋体"/>
        </w:rPr>
        <w:t>磋商过程中重新提交的响应文件，供应商可以在开启前补充、修改。</w:t>
      </w:r>
    </w:p>
    <w:p w14:paraId="6A58EDDA">
      <w:pPr>
        <w:tabs>
          <w:tab w:val="left" w:pos="540"/>
        </w:tabs>
        <w:spacing w:line="360" w:lineRule="auto"/>
        <w:ind w:firstLine="420"/>
        <w:rPr>
          <w:rFonts w:hAnsi="宋体" w:cs="宋体"/>
        </w:rPr>
      </w:pPr>
      <w:r>
        <w:rPr>
          <w:rFonts w:hint="eastAsia" w:hAnsi="宋体" w:cs="宋体"/>
        </w:rPr>
        <w:t>3</w:t>
      </w:r>
      <w:r>
        <w:rPr>
          <w:rFonts w:hAnsi="宋体" w:cs="宋体"/>
        </w:rPr>
        <w:t xml:space="preserve">.8 </w:t>
      </w:r>
      <w:r>
        <w:rPr>
          <w:rFonts w:hint="eastAsia" w:hAnsi="宋体" w:cs="宋体"/>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6FBD8A8">
      <w:pPr>
        <w:tabs>
          <w:tab w:val="left" w:pos="2835"/>
        </w:tabs>
        <w:spacing w:line="360" w:lineRule="auto"/>
        <w:ind w:firstLine="420"/>
        <w:rPr>
          <w:rFonts w:hAnsi="宋体" w:cs="宋体"/>
        </w:rPr>
      </w:pPr>
      <w:r>
        <w:rPr>
          <w:rFonts w:hAnsi="宋体" w:cs="宋体"/>
        </w:rPr>
        <w:t>3.9</w:t>
      </w:r>
      <w:r>
        <w:rPr>
          <w:rFonts w:hint="eastAsia" w:hAnsi="宋体"/>
        </w:rPr>
        <w:t>对磋商过程提交的响应文件进行有效性、完整性和响应程度审查，通过审查的合格供应商不足3家的，采购人或者采购代理机构应当重新开展采购活动。</w:t>
      </w:r>
    </w:p>
    <w:p w14:paraId="2210861E">
      <w:pPr>
        <w:pStyle w:val="74"/>
        <w:spacing w:line="360" w:lineRule="auto"/>
        <w:ind w:firstLine="424"/>
        <w:rPr>
          <w:rFonts w:ascii="宋体" w:hAnsi="宋体" w:eastAsia="宋体"/>
        </w:rPr>
      </w:pPr>
      <w:r>
        <w:t>4.</w:t>
      </w:r>
      <w:r>
        <w:rPr>
          <w:rFonts w:hint="eastAsia"/>
        </w:rPr>
        <w:t>最后报价</w:t>
      </w:r>
    </w:p>
    <w:p w14:paraId="5B646DFE">
      <w:pPr>
        <w:spacing w:line="360" w:lineRule="auto"/>
        <w:ind w:firstLine="420"/>
        <w:rPr>
          <w:rFonts w:hAnsi="宋体" w:cs="宋体"/>
        </w:rPr>
      </w:pPr>
      <w:r>
        <w:rPr>
          <w:rFonts w:hint="eastAsia" w:hAnsi="宋体" w:cs="宋体"/>
        </w:rPr>
        <w:t>4</w:t>
      </w:r>
      <w:r>
        <w:rPr>
          <w:rFonts w:hAnsi="宋体" w:cs="宋体"/>
        </w:rPr>
        <w:t>.1</w:t>
      </w:r>
      <w:r>
        <w:rPr>
          <w:rFonts w:hint="eastAsia" w:hAnsi="宋体" w:cs="宋体"/>
        </w:rPr>
        <w:t>磋商文件能够详细列明采购标的的技术、服务要求的，磋商结束后，由磋商小组要求所有继续参加磋商的供应商在规定时间内密封提交最后报价，除本章第</w:t>
      </w:r>
      <w:r>
        <w:rPr>
          <w:rFonts w:hAnsi="宋体" w:cs="宋体"/>
        </w:rPr>
        <w:t>4.3</w:t>
      </w:r>
      <w:r>
        <w:rPr>
          <w:rFonts w:hint="eastAsia" w:hAnsi="宋体" w:cs="宋体"/>
        </w:rPr>
        <w:t>条外，提交最后报价的供应商不得少于3家，否则必须重新采购。</w:t>
      </w:r>
    </w:p>
    <w:p w14:paraId="3403F640">
      <w:pPr>
        <w:spacing w:line="360" w:lineRule="auto"/>
        <w:ind w:firstLine="420"/>
        <w:rPr>
          <w:rFonts w:hAnsi="宋体" w:cs="宋体"/>
        </w:rPr>
      </w:pPr>
      <w:r>
        <w:rPr>
          <w:rFonts w:hint="eastAsia" w:hAnsi="宋体" w:cs="宋体"/>
        </w:rPr>
        <w:t>4</w:t>
      </w:r>
      <w:r>
        <w:rPr>
          <w:rFonts w:hAnsi="宋体" w:cs="宋体"/>
        </w:rPr>
        <w:t>.2</w:t>
      </w:r>
      <w:r>
        <w:rPr>
          <w:rFonts w:hint="eastAsia" w:hAnsi="宋体" w:cs="宋体"/>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3307992">
      <w:pPr>
        <w:spacing w:line="360" w:lineRule="auto"/>
        <w:ind w:firstLine="420"/>
        <w:rPr>
          <w:rFonts w:hAnsi="宋体" w:cs="宋体"/>
        </w:rPr>
      </w:pPr>
      <w:r>
        <w:rPr>
          <w:rFonts w:hAnsi="宋体" w:cs="宋体"/>
        </w:rPr>
        <w:t>4.3</w:t>
      </w:r>
      <w:r>
        <w:rPr>
          <w:rFonts w:hint="eastAsia" w:hAnsi="宋体" w:cs="宋体"/>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hAnsi="宋体" w:cs="宋体"/>
        </w:rPr>
        <w:t>本章第3.8条情形</w:t>
      </w:r>
      <w:r>
        <w:rPr>
          <w:rFonts w:hint="eastAsia" w:hAnsi="宋体" w:cs="宋体"/>
        </w:rPr>
        <w:t>的，提交最后报价的供应商可以为2家。</w:t>
      </w:r>
    </w:p>
    <w:p w14:paraId="3906A745">
      <w:pPr>
        <w:spacing w:line="360" w:lineRule="auto"/>
        <w:ind w:firstLine="420"/>
        <w:rPr>
          <w:rFonts w:hAnsi="宋体" w:cs="宋体"/>
        </w:rPr>
      </w:pPr>
      <w:r>
        <w:rPr>
          <w:rFonts w:hAnsi="宋体" w:cs="宋体"/>
        </w:rPr>
        <w:t>4.4</w:t>
      </w:r>
      <w:r>
        <w:rPr>
          <w:rFonts w:hint="eastAsia" w:hAnsi="宋体" w:cs="宋体"/>
        </w:rPr>
        <w:t>已经提交响应文件的供应商，在提交最后报价之前，可以根据磋商情况退出磋商，退出磋商的供应商的响应文件按无效响应处理。采购人、采购代理机构将退还退出磋商的供应商的保证金。</w:t>
      </w:r>
    </w:p>
    <w:p w14:paraId="36F81A88">
      <w:pPr>
        <w:spacing w:line="360" w:lineRule="auto"/>
        <w:ind w:firstLine="420"/>
        <w:rPr>
          <w:rFonts w:hAnsi="宋体" w:cs="宋体"/>
        </w:rPr>
      </w:pPr>
      <w:r>
        <w:rPr>
          <w:rFonts w:hAnsi="宋体" w:cs="宋体"/>
        </w:rPr>
        <w:t>4.5</w:t>
      </w:r>
      <w:r>
        <w:rPr>
          <w:rFonts w:hint="eastAsia" w:hAnsi="宋体" w:cs="宋体"/>
        </w:rPr>
        <w:t>供应商未在规定时间内提交最后报价的，视同退出磋商。</w:t>
      </w:r>
    </w:p>
    <w:p w14:paraId="01AB1A27">
      <w:pPr>
        <w:spacing w:line="360" w:lineRule="auto"/>
        <w:ind w:firstLine="420"/>
        <w:rPr>
          <w:rFonts w:hAnsi="宋体" w:cs="宋体"/>
        </w:rPr>
      </w:pPr>
      <w:r>
        <w:rPr>
          <w:rFonts w:hAnsi="宋体" w:cs="宋体"/>
        </w:rPr>
        <w:t>4.6</w:t>
      </w:r>
      <w:r>
        <w:rPr>
          <w:rFonts w:hint="eastAsia" w:hAnsi="宋体" w:cs="宋体"/>
        </w:rPr>
        <w:t>磋商小组收齐某一分标最后报价后统一开启，磋商小组对最后报价进行有效性、完整性和响应程度的审查。</w:t>
      </w:r>
    </w:p>
    <w:p w14:paraId="582EEB2C">
      <w:pPr>
        <w:spacing w:line="360" w:lineRule="auto"/>
        <w:ind w:firstLine="420"/>
        <w:rPr>
          <w:rFonts w:hAnsi="宋体" w:cs="宋体"/>
        </w:rPr>
      </w:pPr>
      <w:r>
        <w:rPr>
          <w:rFonts w:hAnsi="宋体" w:cs="宋体"/>
        </w:rPr>
        <w:t>4.7</w:t>
      </w:r>
      <w:r>
        <w:rPr>
          <w:rFonts w:hint="eastAsia" w:hAnsi="宋体" w:cs="宋体"/>
        </w:rPr>
        <w:t>响应文件最后报价出现前后不一致的，按照本章第</w:t>
      </w:r>
      <w:r>
        <w:rPr>
          <w:rFonts w:hAnsi="宋体" w:cs="宋体"/>
        </w:rPr>
        <w:t>2.4</w:t>
      </w:r>
      <w:r>
        <w:rPr>
          <w:rFonts w:hint="eastAsia" w:hAnsi="宋体" w:cs="宋体"/>
        </w:rPr>
        <w:t xml:space="preserve">条的规定修正。 </w:t>
      </w:r>
    </w:p>
    <w:p w14:paraId="0B80ADA1">
      <w:pPr>
        <w:spacing w:line="360" w:lineRule="auto"/>
        <w:ind w:firstLine="420"/>
        <w:rPr>
          <w:rFonts w:hAnsi="宋体" w:cs="宋体"/>
        </w:rPr>
      </w:pPr>
      <w:r>
        <w:rPr>
          <w:rFonts w:hAnsi="宋体" w:cs="宋体"/>
        </w:rPr>
        <w:t>4.8</w:t>
      </w:r>
      <w:r>
        <w:rPr>
          <w:rFonts w:hint="eastAsia" w:hAnsi="宋体" w:cs="宋体"/>
        </w:rPr>
        <w:t>修正后的报价出现下列情形的，按无效响应处理：</w:t>
      </w:r>
    </w:p>
    <w:p w14:paraId="19236D6F">
      <w:pPr>
        <w:spacing w:line="360" w:lineRule="auto"/>
        <w:ind w:firstLine="420"/>
        <w:rPr>
          <w:rFonts w:hAnsi="宋体" w:cs="宋体"/>
        </w:rPr>
      </w:pPr>
      <w:r>
        <w:rPr>
          <w:rFonts w:hint="eastAsia" w:hAnsi="宋体" w:cs="宋体"/>
        </w:rPr>
        <w:t>（1）供应商不确认的；</w:t>
      </w:r>
    </w:p>
    <w:p w14:paraId="2E367487">
      <w:pPr>
        <w:spacing w:line="360" w:lineRule="auto"/>
        <w:ind w:firstLine="420"/>
        <w:rPr>
          <w:rFonts w:hAnsi="宋体" w:cs="宋体"/>
        </w:rPr>
      </w:pPr>
      <w:r>
        <w:rPr>
          <w:rFonts w:hint="eastAsia" w:hAnsi="宋体" w:cs="宋体"/>
        </w:rPr>
        <w:t>（2）经供应商确认修正后的竞标报价（包含首次报价、最后报价）超过所竞标分标规定的采购预算金额或者最高限价的（如本项目公布了最高限价）；</w:t>
      </w:r>
    </w:p>
    <w:p w14:paraId="6E65A063">
      <w:pPr>
        <w:spacing w:line="360" w:lineRule="auto"/>
        <w:ind w:firstLine="420"/>
        <w:rPr>
          <w:rFonts w:hAnsi="宋体" w:cs="宋体"/>
        </w:rPr>
      </w:pPr>
      <w:r>
        <w:rPr>
          <w:rFonts w:hint="eastAsia" w:hAnsi="宋体" w:cs="宋体"/>
        </w:rPr>
        <w:t>（3）经供应商确认修正后的竞标报价（包含首次报价、最后报价）超过分项采购预算金额或者最高限价的（如本项目公布了最高限价）。</w:t>
      </w:r>
    </w:p>
    <w:p w14:paraId="29C9DFDA">
      <w:pPr>
        <w:spacing w:line="360" w:lineRule="auto"/>
        <w:ind w:firstLine="420"/>
        <w:rPr>
          <w:rFonts w:hAnsi="宋体" w:cs="宋体"/>
        </w:rPr>
      </w:pPr>
      <w:r>
        <w:rPr>
          <w:rFonts w:hAnsi="宋体" w:cs="宋体"/>
        </w:rPr>
        <w:t>4.9</w:t>
      </w:r>
      <w:r>
        <w:rPr>
          <w:rFonts w:hint="eastAsia" w:hAnsi="宋体" w:cs="宋体"/>
        </w:rPr>
        <w:t>经供应商确认修正后的最后报价作为评审及签订合同的依据。</w:t>
      </w:r>
    </w:p>
    <w:p w14:paraId="49C84E65">
      <w:pPr>
        <w:spacing w:line="360" w:lineRule="auto"/>
        <w:ind w:firstLine="420"/>
        <w:rPr>
          <w:rFonts w:hAnsi="宋体" w:cs="宋体"/>
        </w:rPr>
      </w:pPr>
      <w:r>
        <w:rPr>
          <w:rFonts w:hint="eastAsia" w:hAnsi="宋体" w:cs="宋体"/>
        </w:rPr>
        <w:t>4.10供应商出现最后报价按无效响应处理或者响应文件按无效处理时</w:t>
      </w:r>
      <w:r>
        <w:rPr>
          <w:rFonts w:hint="eastAsia" w:hAnsi="宋体"/>
          <w:sz w:val="22"/>
          <w:szCs w:val="22"/>
        </w:rPr>
        <w:t>，磋商小组应当告知有关供应商</w:t>
      </w:r>
      <w:r>
        <w:rPr>
          <w:rFonts w:hint="eastAsia" w:hAnsi="宋体" w:cs="宋体"/>
        </w:rPr>
        <w:t>。</w:t>
      </w:r>
    </w:p>
    <w:p w14:paraId="7B1BAD3F">
      <w:pPr>
        <w:spacing w:line="360" w:lineRule="auto"/>
        <w:ind w:firstLine="420"/>
        <w:rPr>
          <w:rFonts w:hAnsi="宋体" w:cs="宋体"/>
        </w:rPr>
      </w:pPr>
      <w:r>
        <w:rPr>
          <w:rFonts w:hint="eastAsia" w:hAnsi="宋体" w:cs="宋体"/>
        </w:rPr>
        <w:t>4</w:t>
      </w:r>
      <w:r>
        <w:rPr>
          <w:rFonts w:hAnsi="宋体" w:cs="宋体"/>
        </w:rPr>
        <w:t>.1</w:t>
      </w:r>
      <w:r>
        <w:rPr>
          <w:rFonts w:hint="eastAsia" w:hAnsi="宋体" w:cs="宋体"/>
        </w:rPr>
        <w:t>1最后报价结束后，磋商小组不得再与供应商进行任何形式的商谈。</w:t>
      </w:r>
    </w:p>
    <w:p w14:paraId="4FD334D0">
      <w:pPr>
        <w:pStyle w:val="74"/>
        <w:spacing w:line="360" w:lineRule="auto"/>
        <w:ind w:firstLine="424"/>
      </w:pPr>
      <w:r>
        <w:rPr>
          <w:rFonts w:hint="eastAsia"/>
        </w:rPr>
        <w:t>5</w:t>
      </w:r>
      <w:r>
        <w:t>.</w:t>
      </w:r>
      <w:r>
        <w:rPr>
          <w:rFonts w:hint="eastAsia"/>
        </w:rPr>
        <w:t>比较与评价</w:t>
      </w:r>
    </w:p>
    <w:p w14:paraId="0D618160">
      <w:pPr>
        <w:spacing w:line="360" w:lineRule="auto"/>
        <w:ind w:firstLine="420"/>
        <w:rPr>
          <w:rFonts w:hAnsi="宋体" w:cs="宋体"/>
        </w:rPr>
      </w:pPr>
      <w:r>
        <w:rPr>
          <w:rFonts w:hAnsi="宋体" w:cs="宋体"/>
        </w:rPr>
        <w:t>5.1</w:t>
      </w:r>
      <w:r>
        <w:rPr>
          <w:rFonts w:hint="eastAsia" w:hAnsi="宋体" w:cs="宋体"/>
        </w:rPr>
        <w:t>评审方法：综合评分法。</w:t>
      </w:r>
    </w:p>
    <w:p w14:paraId="34A23980">
      <w:pPr>
        <w:spacing w:line="360" w:lineRule="auto"/>
        <w:ind w:firstLine="420"/>
        <w:rPr>
          <w:rFonts w:hAnsi="宋体" w:cs="宋体"/>
        </w:rPr>
      </w:pPr>
      <w:r>
        <w:rPr>
          <w:rFonts w:hAnsi="宋体" w:cs="宋体"/>
        </w:rPr>
        <w:t>5.2</w:t>
      </w:r>
      <w:r>
        <w:rPr>
          <w:rFonts w:hint="eastAsia" w:hAnsi="宋体" w:cs="宋体"/>
        </w:rPr>
        <w:t>经磋商确定最终采购需求和提交最后报价的供应商后，由磋商小组采用综合评分法对提交最后报价的供应商的响应文件和最后报价进行综合评分。</w:t>
      </w:r>
    </w:p>
    <w:p w14:paraId="18C0D83B">
      <w:pPr>
        <w:spacing w:line="360" w:lineRule="auto"/>
        <w:ind w:firstLine="420"/>
        <w:rPr>
          <w:rFonts w:hAnsi="宋体" w:cs="宋体"/>
        </w:rPr>
      </w:pPr>
      <w:r>
        <w:rPr>
          <w:rFonts w:hAnsi="宋体" w:cs="宋体"/>
        </w:rPr>
        <w:t>5.3</w:t>
      </w:r>
      <w:r>
        <w:rPr>
          <w:rFonts w:hint="eastAsia" w:hAnsi="宋体" w:cs="宋体"/>
        </w:rPr>
        <w:t>评审时，磋商小组各成员应当独立对每个有效响应的文件进行评价、打分，然后汇总每个供应商每项评分因素的得分。</w:t>
      </w:r>
    </w:p>
    <w:p w14:paraId="45279A8D">
      <w:pPr>
        <w:spacing w:line="360" w:lineRule="auto"/>
        <w:ind w:firstLine="420"/>
        <w:rPr>
          <w:rFonts w:hAnsi="宋体" w:cs="宋体"/>
        </w:rPr>
      </w:pPr>
      <w:r>
        <w:rPr>
          <w:rFonts w:hint="eastAsia" w:hAnsi="宋体" w:cs="宋体"/>
        </w:rPr>
        <w:t>（1）磋商小组按照磋商文件中规定的评审标准计算各供应商的报价得分。项目评审过程中，不得去掉最后报价中的最高报价和最低报价。</w:t>
      </w:r>
    </w:p>
    <w:p w14:paraId="3A712EAE">
      <w:pPr>
        <w:spacing w:line="360" w:lineRule="auto"/>
        <w:ind w:firstLine="420"/>
        <w:rPr>
          <w:rFonts w:hAnsi="宋体" w:cs="宋体"/>
        </w:rPr>
      </w:pPr>
      <w:r>
        <w:rPr>
          <w:rFonts w:hint="eastAsia" w:hAnsi="宋体" w:cs="宋体"/>
        </w:rPr>
        <w:t>（2）各供应商的得分为磋商小组所有成员的有效评分的算术平均数。</w:t>
      </w:r>
    </w:p>
    <w:p w14:paraId="30DED6BD">
      <w:pPr>
        <w:spacing w:line="360" w:lineRule="auto"/>
        <w:ind w:firstLine="420"/>
        <w:rPr>
          <w:rFonts w:hAnsi="宋体" w:cs="宋体"/>
        </w:rPr>
      </w:pPr>
      <w:r>
        <w:rPr>
          <w:rFonts w:hAnsi="宋体" w:cs="宋体"/>
        </w:rPr>
        <w:t>5.4</w:t>
      </w:r>
      <w:r>
        <w:rPr>
          <w:rFonts w:hint="eastAsia" w:hAnsi="宋体" w:cs="宋体"/>
        </w:rPr>
        <w:t>评审价为供应商的最后报价进行政策性扣除后的价格，评审价只是作为评审时使用。最终成交供应商的成交金额等于最后报价（如有修正，以确认修正后的最后报价为准）。</w:t>
      </w:r>
    </w:p>
    <w:p w14:paraId="359A1ECE">
      <w:pPr>
        <w:spacing w:line="360" w:lineRule="auto"/>
        <w:ind w:firstLine="420"/>
        <w:rPr>
          <w:rFonts w:hAnsi="宋体"/>
          <w:kern w:val="0"/>
        </w:rPr>
      </w:pPr>
      <w:r>
        <w:rPr>
          <w:rFonts w:hAnsi="宋体" w:cs="宋体"/>
        </w:rPr>
        <w:t>5.5</w:t>
      </w:r>
      <w:r>
        <w:rPr>
          <w:rFonts w:hint="eastAsia" w:hAnsi="宋体" w:cs="宋体"/>
        </w:rPr>
        <w:t>由磋商小组根据综合评分情况，按照评审得分由高到低顺序推荐3名成交候选供应商，并编写评</w:t>
      </w:r>
      <w:r>
        <w:rPr>
          <w:rFonts w:hint="eastAsia" w:hAnsi="宋体"/>
          <w:kern w:val="0"/>
        </w:rPr>
        <w:t>审报告。符合本章第</w:t>
      </w:r>
      <w:r>
        <w:rPr>
          <w:rFonts w:hAnsi="宋体"/>
          <w:kern w:val="0"/>
        </w:rPr>
        <w:t>4.3</w:t>
      </w:r>
      <w:r>
        <w:rPr>
          <w:rFonts w:hint="eastAsia" w:hAnsi="宋体"/>
          <w:kern w:val="0"/>
        </w:rPr>
        <w:t>条情形的，可以推荐2家成交候选供应商。评审得分相同的，按照最后报价由低到高的顺序推荐。评审得分且最后报价相同的，按照技术指标优劣顺序推荐。</w:t>
      </w:r>
    </w:p>
    <w:p w14:paraId="35A0A80E">
      <w:pPr>
        <w:spacing w:line="360" w:lineRule="auto"/>
        <w:ind w:firstLine="420" w:firstLineChars="200"/>
        <w:rPr>
          <w:rFonts w:hAnsi="宋体"/>
          <w:kern w:val="0"/>
        </w:rPr>
      </w:pPr>
      <w:r>
        <w:rPr>
          <w:rFonts w:hAnsi="宋体"/>
          <w:kern w:val="0"/>
        </w:rPr>
        <w:t>5.6</w:t>
      </w:r>
      <w:r>
        <w:rPr>
          <w:rFonts w:hint="eastAsia" w:hAnsi="宋体"/>
          <w:kern w:val="0"/>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351529">
      <w:pPr>
        <w:pStyle w:val="72"/>
        <w:spacing w:before="0" w:after="0"/>
        <w:sectPr>
          <w:pgSz w:w="11906" w:h="16838"/>
          <w:pgMar w:top="1435" w:right="1435" w:bottom="1435" w:left="1435" w:header="851" w:footer="992" w:gutter="0"/>
          <w:cols w:space="720" w:num="1"/>
          <w:titlePg/>
          <w:docGrid w:type="lines" w:linePitch="312" w:charSpace="0"/>
        </w:sectPr>
      </w:pPr>
    </w:p>
    <w:p w14:paraId="4A3CB948">
      <w:pPr>
        <w:pStyle w:val="72"/>
        <w:spacing w:before="0" w:after="0"/>
      </w:pPr>
      <w:r>
        <w:rPr>
          <w:rFonts w:hint="eastAsia"/>
        </w:rPr>
        <w:t>二、评审标准</w:t>
      </w:r>
    </w:p>
    <w:p w14:paraId="6A22AAEA">
      <w:pPr>
        <w:spacing w:line="360" w:lineRule="exact"/>
        <w:ind w:firstLine="210" w:firstLineChars="100"/>
        <w:rPr>
          <w:rFonts w:ascii="宋体" w:hAnsi="宋体" w:cs="宋体"/>
          <w:szCs w:val="21"/>
        </w:rPr>
      </w:pPr>
      <w:bookmarkStart w:id="36" w:name="_Toc13112"/>
      <w:r>
        <w:rPr>
          <w:rFonts w:hint="eastAsia" w:ascii="宋体" w:hAnsi="宋体" w:cs="宋体"/>
          <w:szCs w:val="21"/>
        </w:rPr>
        <w:t>（一）对进入详评的，采用百分制综合评分法。</w:t>
      </w:r>
    </w:p>
    <w:p w14:paraId="3EBCF78B">
      <w:pPr>
        <w:spacing w:line="360" w:lineRule="exact"/>
        <w:ind w:firstLine="210" w:firstLineChars="100"/>
        <w:rPr>
          <w:rFonts w:ascii="宋体" w:hAnsi="宋体" w:cs="宋体"/>
          <w:szCs w:val="21"/>
        </w:rPr>
      </w:pPr>
      <w:r>
        <w:rPr>
          <w:rFonts w:hint="eastAsia" w:ascii="宋体" w:hAnsi="宋体" w:cs="宋体"/>
          <w:szCs w:val="21"/>
        </w:rPr>
        <w:t>（二）计分办法（按四舍五入取至百分位）：</w:t>
      </w:r>
    </w:p>
    <w:bookmarkEnd w:id="36"/>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993"/>
        <w:gridCol w:w="7328"/>
      </w:tblGrid>
      <w:tr w14:paraId="3E1F7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14:paraId="6DA17BC4">
            <w:pPr>
              <w:widowControl/>
              <w:spacing w:line="400" w:lineRule="exact"/>
              <w:jc w:val="center"/>
              <w:rPr>
                <w:rFonts w:ascii="宋体" w:hAnsi="宋体" w:cs="宋体"/>
                <w:b/>
                <w:bCs/>
                <w:kern w:val="0"/>
                <w:szCs w:val="21"/>
              </w:rPr>
            </w:pPr>
            <w:r>
              <w:rPr>
                <w:rFonts w:hint="eastAsia" w:ascii="宋体" w:hAnsi="宋体" w:cs="宋体"/>
                <w:b/>
                <w:bCs/>
                <w:kern w:val="0"/>
                <w:szCs w:val="21"/>
              </w:rPr>
              <w:t>序号</w:t>
            </w:r>
          </w:p>
        </w:tc>
        <w:tc>
          <w:tcPr>
            <w:tcW w:w="993" w:type="dxa"/>
            <w:tcBorders>
              <w:top w:val="single" w:color="auto" w:sz="4" w:space="0"/>
              <w:left w:val="single" w:color="auto" w:sz="4" w:space="0"/>
              <w:bottom w:val="single" w:color="auto" w:sz="4" w:space="0"/>
              <w:right w:val="single" w:color="auto" w:sz="4" w:space="0"/>
            </w:tcBorders>
            <w:vAlign w:val="center"/>
          </w:tcPr>
          <w:p w14:paraId="499B1FD8">
            <w:pPr>
              <w:widowControl/>
              <w:spacing w:line="400" w:lineRule="exact"/>
              <w:jc w:val="center"/>
              <w:rPr>
                <w:rFonts w:ascii="宋体" w:hAnsi="宋体" w:cs="宋体"/>
                <w:b/>
                <w:bCs/>
                <w:kern w:val="0"/>
                <w:szCs w:val="21"/>
              </w:rPr>
            </w:pPr>
            <w:r>
              <w:rPr>
                <w:rFonts w:hint="eastAsia" w:ascii="宋体" w:hAnsi="宋体" w:cs="宋体"/>
                <w:b/>
                <w:bCs/>
                <w:kern w:val="0"/>
                <w:szCs w:val="21"/>
              </w:rPr>
              <w:t>评审</w:t>
            </w:r>
          </w:p>
          <w:p w14:paraId="07909FE5">
            <w:pPr>
              <w:widowControl/>
              <w:spacing w:line="400" w:lineRule="exact"/>
              <w:jc w:val="center"/>
              <w:rPr>
                <w:rFonts w:ascii="宋体" w:hAnsi="宋体" w:cs="宋体"/>
                <w:b/>
                <w:bCs/>
                <w:kern w:val="0"/>
                <w:szCs w:val="21"/>
              </w:rPr>
            </w:pPr>
            <w:r>
              <w:rPr>
                <w:rFonts w:hint="eastAsia" w:ascii="宋体" w:hAnsi="宋体" w:cs="宋体"/>
                <w:b/>
                <w:bCs/>
                <w:kern w:val="0"/>
                <w:szCs w:val="21"/>
              </w:rPr>
              <w:t>因素</w:t>
            </w:r>
          </w:p>
        </w:tc>
        <w:tc>
          <w:tcPr>
            <w:tcW w:w="7328" w:type="dxa"/>
            <w:tcBorders>
              <w:top w:val="single" w:color="auto" w:sz="4" w:space="0"/>
              <w:left w:val="single" w:color="auto" w:sz="4" w:space="0"/>
              <w:bottom w:val="single" w:color="auto" w:sz="4" w:space="0"/>
              <w:right w:val="single" w:color="auto" w:sz="4" w:space="0"/>
            </w:tcBorders>
            <w:vAlign w:val="center"/>
          </w:tcPr>
          <w:p w14:paraId="341D7F1D">
            <w:pPr>
              <w:widowControl/>
              <w:spacing w:line="400" w:lineRule="exact"/>
              <w:jc w:val="center"/>
              <w:rPr>
                <w:rFonts w:ascii="宋体" w:hAnsi="宋体" w:cs="宋体"/>
                <w:b/>
                <w:bCs/>
                <w:kern w:val="0"/>
                <w:szCs w:val="21"/>
              </w:rPr>
            </w:pPr>
            <w:r>
              <w:rPr>
                <w:rFonts w:hint="eastAsia" w:ascii="宋体" w:hAnsi="宋体" w:cs="宋体"/>
                <w:b/>
                <w:bCs/>
                <w:kern w:val="0"/>
                <w:szCs w:val="21"/>
              </w:rPr>
              <w:t>评审因素具体内容</w:t>
            </w:r>
          </w:p>
        </w:tc>
      </w:tr>
      <w:tr w14:paraId="5B08E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14:paraId="4C0D35DE">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14:paraId="65551F71">
            <w:pPr>
              <w:widowControl/>
              <w:spacing w:line="400" w:lineRule="exact"/>
              <w:rPr>
                <w:rFonts w:ascii="宋体" w:hAnsi="宋体" w:cs="宋体"/>
                <w:kern w:val="0"/>
                <w:szCs w:val="21"/>
              </w:rPr>
            </w:pPr>
            <w:r>
              <w:rPr>
                <w:rFonts w:hint="eastAsia" w:ascii="宋体" w:hAnsi="宋体" w:cs="宋体"/>
                <w:b/>
                <w:bCs/>
                <w:kern w:val="0"/>
                <w:szCs w:val="21"/>
              </w:rPr>
              <w:t>价格分（满分30分）</w:t>
            </w:r>
          </w:p>
        </w:tc>
        <w:tc>
          <w:tcPr>
            <w:tcW w:w="7328" w:type="dxa"/>
            <w:tcBorders>
              <w:top w:val="single" w:color="auto" w:sz="4" w:space="0"/>
              <w:left w:val="single" w:color="auto" w:sz="4" w:space="0"/>
              <w:bottom w:val="single" w:color="auto" w:sz="4" w:space="0"/>
              <w:right w:val="single" w:color="auto" w:sz="4" w:space="0"/>
            </w:tcBorders>
          </w:tcPr>
          <w:p w14:paraId="067B9FC2">
            <w:pPr>
              <w:spacing w:line="400" w:lineRule="exact"/>
              <w:ind w:firstLine="420" w:firstLineChars="200"/>
              <w:rPr>
                <w:rFonts w:ascii="宋体" w:hAnsi="宋体" w:cs="宋体"/>
                <w:bCs/>
                <w:szCs w:val="21"/>
              </w:rPr>
            </w:pPr>
            <w:r>
              <w:rPr>
                <w:rFonts w:hint="eastAsia" w:ascii="宋体" w:hAnsi="宋体" w:cs="宋体"/>
                <w:bCs/>
                <w:szCs w:val="21"/>
                <w:lang w:bidi="ar"/>
              </w:rPr>
              <w:t>（1）评标价为竞标人的竞标报价进行政策性扣除后的价格，评标价只是作为评标时使用。最终成交供应商的成交金额＝竞标报价。</w:t>
            </w:r>
          </w:p>
          <w:p w14:paraId="2E20690D">
            <w:pPr>
              <w:spacing w:line="400" w:lineRule="exact"/>
              <w:ind w:firstLine="420" w:firstLineChars="200"/>
              <w:rPr>
                <w:rFonts w:ascii="宋体" w:hAnsi="宋体" w:cs="宋体"/>
                <w:bCs/>
                <w:szCs w:val="21"/>
              </w:rPr>
            </w:pPr>
            <w:r>
              <w:rPr>
                <w:rFonts w:hint="eastAsia" w:ascii="宋体" w:hAnsi="宋体" w:cs="宋体"/>
                <w:bCs/>
                <w:szCs w:val="21"/>
                <w:lang w:bidi="ar"/>
              </w:rPr>
              <w:t>（2）按照《政府采购促进中小企业发展管理办法》（财库〔2020〕46号）</w:t>
            </w:r>
            <w:r>
              <w:rPr>
                <w:rFonts w:hint="eastAsia" w:ascii="宋体" w:hAnsi="宋体" w:cs="宋体"/>
                <w:bCs/>
                <w:kern w:val="0"/>
                <w:szCs w:val="21"/>
              </w:rPr>
              <w:t>和《广西壮族自治区财政厅关于贯彻落实政府采购支持中小企业发展政策的通知》桂财采〔2022〕31号</w:t>
            </w:r>
            <w:r>
              <w:rPr>
                <w:rFonts w:hint="eastAsia" w:ascii="宋体" w:hAnsi="宋体" w:cs="宋体"/>
                <w:bCs/>
                <w:szCs w:val="21"/>
                <w:lang w:bidi="ar"/>
              </w:rPr>
              <w:t>的规定，竞标人在其响应文件中提供《中小企业声明函》，且其服务为小型和微型企业承接的，对其最后报价给予10%的扣除。（响应文件中提供《中小企业声明函》（详见附件格式））</w:t>
            </w:r>
          </w:p>
          <w:p w14:paraId="20FC190D">
            <w:pPr>
              <w:spacing w:line="400" w:lineRule="exact"/>
              <w:ind w:firstLine="420" w:firstLineChars="200"/>
              <w:rPr>
                <w:rFonts w:ascii="宋体" w:hAnsi="宋体" w:cs="宋体"/>
                <w:bCs/>
                <w:szCs w:val="21"/>
              </w:rPr>
            </w:pPr>
            <w:r>
              <w:rPr>
                <w:rFonts w:hint="eastAsia" w:ascii="宋体" w:hAnsi="宋体" w:cs="宋体"/>
                <w:bCs/>
                <w:szCs w:val="21"/>
                <w:lang w:bidi="ar"/>
              </w:rPr>
              <w:t>（3）按照《财政部、司法部关于政府采购支持监狱企业发展有关问题的通知》（财库〔2014〕68号）的规定，监狱企业视同小型、微型企业，享受预留份额、评审中价格扣除等促进中小企业发展的政府采购政策。</w:t>
            </w:r>
          </w:p>
          <w:p w14:paraId="46EDA33E">
            <w:pPr>
              <w:spacing w:line="400" w:lineRule="exact"/>
              <w:ind w:firstLine="420" w:firstLineChars="200"/>
              <w:rPr>
                <w:rFonts w:ascii="宋体" w:hAnsi="宋体" w:cs="宋体"/>
                <w:bCs/>
                <w:szCs w:val="21"/>
              </w:rPr>
            </w:pPr>
            <w:r>
              <w:rPr>
                <w:rFonts w:hint="eastAsia" w:ascii="宋体" w:hAnsi="宋体" w:cs="宋体"/>
                <w:bCs/>
                <w:szCs w:val="21"/>
                <w:lang w:bidi="ar"/>
              </w:rPr>
              <w:t>（4）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9C9BF37">
            <w:pPr>
              <w:spacing w:line="400" w:lineRule="exact"/>
              <w:ind w:firstLine="420" w:firstLineChars="200"/>
              <w:rPr>
                <w:rFonts w:ascii="宋体" w:hAnsi="宋体" w:cs="宋体"/>
                <w:bCs/>
                <w:szCs w:val="21"/>
              </w:rPr>
            </w:pPr>
            <w:r>
              <w:rPr>
                <w:rFonts w:hint="eastAsia" w:ascii="宋体" w:hAnsi="宋体" w:cs="宋体"/>
                <w:bCs/>
                <w:szCs w:val="21"/>
                <w:lang w:bidi="ar"/>
              </w:rPr>
              <w:t>（5）政策性扣除计算方法。</w:t>
            </w:r>
          </w:p>
          <w:p w14:paraId="77C1DB7A">
            <w:pPr>
              <w:spacing w:line="400" w:lineRule="exact"/>
              <w:ind w:firstLine="420" w:firstLineChars="200"/>
              <w:rPr>
                <w:rFonts w:ascii="宋体" w:hAnsi="宋体" w:cs="宋体"/>
                <w:bCs/>
                <w:szCs w:val="21"/>
              </w:rPr>
            </w:pPr>
            <w:r>
              <w:rPr>
                <w:rFonts w:hint="eastAsia" w:ascii="宋体" w:hAnsi="宋体" w:cs="宋体"/>
                <w:bCs/>
                <w:szCs w:val="21"/>
                <w:lang w:bidi="ar"/>
              </w:rPr>
              <w:t>竞标人所竞标产品被认定为监狱企业或残疾人福利性单位或小型和微型企业产品的，该产品竞标报价给予10%的扣除，扣除后的价格为评标报价，即该产品的评标报价=该产品的竞标报价×（1-10%）；大中型企业和其他自然人、法人或者其他组织与小型、微型企业组成联合体竞标，且联合体协议中约定小型、微型企业的协议合同金额占到联合体协议合同总金额30%以上的，联合体竞标价给予4%的扣除，扣除后的价格为评标价，即评标报价=竞标报价×（1-4%）；除上述情况外，评审报价=响应报价。</w:t>
            </w:r>
          </w:p>
          <w:p w14:paraId="05108001">
            <w:pPr>
              <w:spacing w:line="400" w:lineRule="exact"/>
              <w:ind w:firstLine="420" w:firstLineChars="200"/>
              <w:rPr>
                <w:rFonts w:ascii="宋体" w:hAnsi="宋体" w:cs="宋体"/>
                <w:bCs/>
                <w:szCs w:val="21"/>
                <w:lang w:bidi="ar"/>
              </w:rPr>
            </w:pPr>
            <w:r>
              <w:rPr>
                <w:rFonts w:hint="eastAsia" w:ascii="宋体" w:hAnsi="宋体" w:cs="宋体"/>
                <w:bCs/>
                <w:szCs w:val="21"/>
                <w:lang w:bidi="ar"/>
              </w:rPr>
              <w:t>（6）价格分包括骑费、场地使用费两部分，各占15分，满分30分。</w:t>
            </w:r>
          </w:p>
          <w:p w14:paraId="3AFF2FEF">
            <w:pPr>
              <w:spacing w:line="400" w:lineRule="exact"/>
              <w:ind w:firstLine="420" w:firstLineChars="200"/>
              <w:rPr>
                <w:rFonts w:ascii="宋体" w:hAnsi="宋体" w:cs="宋体"/>
                <w:bCs/>
                <w:szCs w:val="21"/>
                <w:lang w:bidi="ar"/>
              </w:rPr>
            </w:pPr>
            <w:r>
              <w:rPr>
                <w:rFonts w:hint="eastAsia" w:ascii="宋体" w:hAnsi="宋体" w:cs="宋体"/>
                <w:bCs/>
                <w:szCs w:val="21"/>
              </w:rPr>
              <w:t>①</w:t>
            </w:r>
            <w:r>
              <w:rPr>
                <w:rFonts w:hint="eastAsia" w:ascii="宋体" w:hAnsi="宋体" w:cs="宋体"/>
                <w:bCs/>
                <w:szCs w:val="21"/>
                <w:lang w:bidi="ar"/>
              </w:rPr>
              <w:t>骑费以进入综合评分环节最低的竞标报价为基准价，计算式为：供应商价格分=（基准价/最后报价）×15分.</w:t>
            </w:r>
          </w:p>
          <w:p w14:paraId="45A7EAE1">
            <w:pPr>
              <w:widowControl/>
              <w:spacing w:line="400" w:lineRule="exact"/>
              <w:ind w:firstLine="420" w:firstLineChars="200"/>
              <w:jc w:val="left"/>
              <w:rPr>
                <w:rFonts w:ascii="宋体" w:hAnsi="宋体" w:cs="宋体"/>
                <w:bCs/>
                <w:szCs w:val="21"/>
                <w:lang w:bidi="ar"/>
              </w:rPr>
            </w:pPr>
            <w:r>
              <w:rPr>
                <w:rFonts w:hint="eastAsia" w:ascii="宋体" w:hAnsi="宋体" w:cs="宋体"/>
                <w:bCs/>
                <w:szCs w:val="21"/>
                <w:lang w:bidi="ar"/>
              </w:rPr>
              <w:t>②场地使用费以进入综合评分环节最高的竞标报价为基准价，计算式为：供应商价格分=（基准价/最后报价）×15分</w:t>
            </w:r>
          </w:p>
          <w:p w14:paraId="033AA457">
            <w:pPr>
              <w:widowControl/>
              <w:spacing w:line="400" w:lineRule="exact"/>
              <w:ind w:firstLine="420" w:firstLineChars="200"/>
              <w:jc w:val="left"/>
              <w:rPr>
                <w:rFonts w:ascii="宋体" w:hAnsi="宋体" w:cs="宋体"/>
                <w:szCs w:val="21"/>
              </w:rPr>
            </w:pPr>
            <w:r>
              <w:rPr>
                <w:rFonts w:hint="eastAsia" w:ascii="宋体" w:hAnsi="宋体" w:cs="宋体"/>
                <w:bCs/>
                <w:szCs w:val="21"/>
                <w:lang w:bidi="ar"/>
              </w:rPr>
              <w:t>（7）报价总得分=骑费报价得分＋场地使用费报价得分</w:t>
            </w:r>
            <w:r>
              <w:rPr>
                <w:rFonts w:hint="eastAsia" w:ascii="宋体" w:hAnsi="宋体" w:cs="宋体"/>
                <w:szCs w:val="21"/>
              </w:rPr>
              <w:t xml:space="preserve"> </w:t>
            </w:r>
          </w:p>
        </w:tc>
      </w:tr>
      <w:tr w14:paraId="04B7C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31" w:type="dxa"/>
            <w:vMerge w:val="restart"/>
            <w:tcBorders>
              <w:top w:val="single" w:color="auto" w:sz="4" w:space="0"/>
              <w:left w:val="single" w:color="auto" w:sz="4" w:space="0"/>
              <w:right w:val="single" w:color="auto" w:sz="4" w:space="0"/>
            </w:tcBorders>
            <w:vAlign w:val="center"/>
          </w:tcPr>
          <w:p w14:paraId="2A658F20">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993" w:type="dxa"/>
            <w:vMerge w:val="restart"/>
            <w:tcBorders>
              <w:top w:val="single" w:color="auto" w:sz="4" w:space="0"/>
              <w:left w:val="single" w:color="auto" w:sz="4" w:space="0"/>
              <w:right w:val="single" w:color="auto" w:sz="4" w:space="0"/>
            </w:tcBorders>
            <w:vAlign w:val="center"/>
          </w:tcPr>
          <w:p w14:paraId="2904CDB6">
            <w:pPr>
              <w:widowControl/>
              <w:spacing w:line="400" w:lineRule="exact"/>
              <w:rPr>
                <w:rFonts w:ascii="宋体" w:hAnsi="宋体" w:cs="宋体"/>
                <w:kern w:val="0"/>
                <w:szCs w:val="21"/>
              </w:rPr>
            </w:pPr>
            <w:r>
              <w:rPr>
                <w:rFonts w:hint="eastAsia" w:ascii="宋体" w:hAnsi="宋体" w:cs="宋体"/>
                <w:b/>
                <w:bCs/>
                <w:kern w:val="0"/>
                <w:szCs w:val="21"/>
              </w:rPr>
              <w:t>技术分（满分45）</w:t>
            </w:r>
          </w:p>
        </w:tc>
        <w:tc>
          <w:tcPr>
            <w:tcW w:w="7328" w:type="dxa"/>
            <w:tcBorders>
              <w:top w:val="single" w:color="auto" w:sz="4" w:space="0"/>
              <w:left w:val="single" w:color="auto" w:sz="4" w:space="0"/>
              <w:bottom w:val="single" w:color="auto" w:sz="4" w:space="0"/>
              <w:right w:val="single" w:color="auto" w:sz="4" w:space="0"/>
            </w:tcBorders>
          </w:tcPr>
          <w:p w14:paraId="4CA0E3B5">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ascii="宋体" w:hAnsi="宋体" w:cs="宋体"/>
                <w:b/>
                <w:bCs/>
                <w:kern w:val="0"/>
                <w:szCs w:val="21"/>
                <w:lang w:bidi="ar"/>
              </w:rPr>
            </w:pPr>
            <w:r>
              <w:rPr>
                <w:rFonts w:hint="eastAsia" w:ascii="宋体" w:hAnsi="宋体" w:cs="宋体"/>
                <w:b/>
                <w:bCs/>
                <w:kern w:val="0"/>
                <w:szCs w:val="21"/>
                <w:lang w:eastAsia="zh-CN" w:bidi="ar"/>
              </w:rPr>
              <w:t>（</w:t>
            </w:r>
            <w:r>
              <w:rPr>
                <w:rFonts w:hint="eastAsia" w:ascii="宋体" w:hAnsi="宋体" w:cs="宋体"/>
                <w:b/>
                <w:bCs/>
                <w:kern w:val="0"/>
                <w:szCs w:val="21"/>
                <w:lang w:val="en-US" w:eastAsia="zh-CN" w:bidi="ar"/>
              </w:rPr>
              <w:t>1</w:t>
            </w:r>
            <w:r>
              <w:rPr>
                <w:rFonts w:hint="eastAsia" w:ascii="宋体" w:hAnsi="宋体" w:cs="宋体"/>
                <w:b/>
                <w:bCs/>
                <w:kern w:val="0"/>
                <w:szCs w:val="21"/>
                <w:lang w:eastAsia="zh-CN" w:bidi="ar"/>
              </w:rPr>
              <w:t>）</w:t>
            </w:r>
            <w:r>
              <w:rPr>
                <w:rFonts w:hint="eastAsia" w:ascii="宋体" w:hAnsi="宋体" w:cs="宋体"/>
                <w:b/>
                <w:bCs/>
                <w:kern w:val="0"/>
                <w:szCs w:val="21"/>
                <w:lang w:bidi="ar"/>
              </w:rPr>
              <w:t>项目实施方案（满分 11 分）</w:t>
            </w:r>
          </w:p>
          <w:p w14:paraId="2742D5BD">
            <w:pPr>
              <w:pStyle w:val="34"/>
              <w:keepNext w:val="0"/>
              <w:keepLines w:val="0"/>
              <w:pageBreakBefore w:val="0"/>
              <w:tabs>
                <w:tab w:val="clear" w:pos="4153"/>
                <w:tab w:val="clear" w:pos="8306"/>
              </w:tabs>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一档（11 分）：</w:t>
            </w:r>
            <w:r>
              <w:rPr>
                <w:rFonts w:hint="eastAsia" w:ascii="宋体" w:hAnsi="宋体" w:cs="宋体"/>
                <w:spacing w:val="-6"/>
                <w:sz w:val="21"/>
                <w:szCs w:val="21"/>
                <w:lang w:bidi="ar"/>
              </w:rPr>
              <w:t>供应商</w:t>
            </w:r>
            <w:r>
              <w:rPr>
                <w:rFonts w:hint="eastAsia" w:ascii="宋体" w:hAnsi="宋体" w:cs="宋体"/>
                <w:sz w:val="21"/>
                <w:szCs w:val="21"/>
              </w:rPr>
              <w:t>对共享单车投放相关标准和规范理解到位，对项目重点、难点及风险分析准确，有项目管理组织方案，有项目解决方案、共享单车投放方案，投入校区共享单车管理人员投入方案达到采购人要求，共享单车停放位置提醒技术方案，详细说明各个阶段工作安排，安全控制措施和质量保证措施，表述清晰、完整、严谨、合理、具体、有效、成熟；</w:t>
            </w:r>
          </w:p>
          <w:p w14:paraId="0064E6F1">
            <w:pPr>
              <w:pStyle w:val="34"/>
              <w:keepNext w:val="0"/>
              <w:keepLines w:val="0"/>
              <w:pageBreakBefore w:val="0"/>
              <w:tabs>
                <w:tab w:val="clear" w:pos="4153"/>
                <w:tab w:val="clear" w:pos="8306"/>
              </w:tabs>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二档（8 分）：供应商对共享单车投放相关标准和规范理解到位，项目实施方案基本可行，有项目管理组织方案，有项目解决方案、项目进度计划、共享单车投放、驻校管理人员配备等方案；</w:t>
            </w:r>
          </w:p>
          <w:p w14:paraId="03AD725E">
            <w:pPr>
              <w:pStyle w:val="34"/>
              <w:keepNext w:val="0"/>
              <w:keepLines w:val="0"/>
              <w:pageBreakBefore w:val="0"/>
              <w:tabs>
                <w:tab w:val="clear" w:pos="4153"/>
                <w:tab w:val="clear" w:pos="8306"/>
              </w:tabs>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三档（5分）：</w:t>
            </w:r>
            <w:r>
              <w:rPr>
                <w:rFonts w:hint="eastAsia" w:ascii="宋体" w:hAnsi="宋体" w:cs="宋体"/>
                <w:spacing w:val="-6"/>
                <w:sz w:val="21"/>
                <w:szCs w:val="21"/>
                <w:lang w:bidi="ar"/>
              </w:rPr>
              <w:t>供应商</w:t>
            </w:r>
            <w:r>
              <w:rPr>
                <w:rFonts w:hint="eastAsia" w:ascii="宋体" w:hAnsi="宋体" w:cs="宋体"/>
                <w:sz w:val="21"/>
                <w:szCs w:val="21"/>
              </w:rPr>
              <w:t>对共享单车投放相关标准和规范理解到位，项目实施方案基本符合本次项目需求。</w:t>
            </w:r>
          </w:p>
          <w:p w14:paraId="2566948B">
            <w:pPr>
              <w:pStyle w:val="34"/>
              <w:keepNext w:val="0"/>
              <w:keepLines w:val="0"/>
              <w:pageBreakBefore w:val="0"/>
              <w:tabs>
                <w:tab w:val="clear" w:pos="4153"/>
                <w:tab w:val="clear" w:pos="8306"/>
              </w:tabs>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不提供不得分。</w:t>
            </w:r>
          </w:p>
        </w:tc>
      </w:tr>
      <w:tr w14:paraId="70AF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31" w:type="dxa"/>
            <w:vMerge w:val="continue"/>
            <w:tcBorders>
              <w:left w:val="single" w:color="auto" w:sz="4" w:space="0"/>
              <w:right w:val="single" w:color="auto" w:sz="4" w:space="0"/>
            </w:tcBorders>
            <w:vAlign w:val="center"/>
          </w:tcPr>
          <w:p w14:paraId="4ADB94EB">
            <w:pPr>
              <w:widowControl/>
              <w:spacing w:line="400" w:lineRule="exact"/>
              <w:jc w:val="center"/>
              <w:rPr>
                <w:rFonts w:ascii="宋体" w:hAnsi="宋体" w:cs="宋体"/>
                <w:kern w:val="0"/>
                <w:szCs w:val="21"/>
              </w:rPr>
            </w:pPr>
          </w:p>
        </w:tc>
        <w:tc>
          <w:tcPr>
            <w:tcW w:w="993" w:type="dxa"/>
            <w:vMerge w:val="continue"/>
            <w:tcBorders>
              <w:left w:val="single" w:color="auto" w:sz="4" w:space="0"/>
              <w:right w:val="single" w:color="auto" w:sz="4" w:space="0"/>
            </w:tcBorders>
            <w:vAlign w:val="center"/>
          </w:tcPr>
          <w:p w14:paraId="3D8061B1">
            <w:pPr>
              <w:widowControl/>
              <w:spacing w:line="400" w:lineRule="exact"/>
              <w:rPr>
                <w:rFonts w:ascii="宋体" w:hAnsi="宋体" w:cs="宋体"/>
                <w:kern w:val="0"/>
                <w:szCs w:val="21"/>
              </w:rPr>
            </w:pPr>
          </w:p>
        </w:tc>
        <w:tc>
          <w:tcPr>
            <w:tcW w:w="7328" w:type="dxa"/>
            <w:tcBorders>
              <w:top w:val="single" w:color="auto" w:sz="4" w:space="0"/>
              <w:left w:val="single" w:color="auto" w:sz="4" w:space="0"/>
              <w:bottom w:val="single" w:color="auto" w:sz="4" w:space="0"/>
              <w:right w:val="single" w:color="auto" w:sz="4" w:space="0"/>
            </w:tcBorders>
          </w:tcPr>
          <w:p w14:paraId="516D7B1E">
            <w:pPr>
              <w:spacing w:line="360" w:lineRule="exact"/>
              <w:ind w:firstLine="398" w:firstLineChars="200"/>
              <w:jc w:val="left"/>
              <w:rPr>
                <w:rFonts w:ascii="宋体" w:hAnsi="宋体" w:cs="宋体"/>
                <w:b/>
                <w:spacing w:val="-6"/>
                <w:kern w:val="0"/>
                <w:szCs w:val="21"/>
                <w:lang w:bidi="ar"/>
              </w:rPr>
            </w:pPr>
            <w:r>
              <w:rPr>
                <w:rFonts w:hint="eastAsia" w:ascii="宋体" w:hAnsi="宋体" w:cs="宋体"/>
                <w:b/>
                <w:spacing w:val="-6"/>
                <w:kern w:val="0"/>
                <w:szCs w:val="21"/>
                <w:lang w:eastAsia="zh-CN" w:bidi="ar"/>
              </w:rPr>
              <w:t>（</w:t>
            </w:r>
            <w:r>
              <w:rPr>
                <w:rFonts w:hint="eastAsia" w:ascii="宋体" w:hAnsi="宋体" w:cs="宋体"/>
                <w:b/>
                <w:spacing w:val="-6"/>
                <w:kern w:val="0"/>
                <w:szCs w:val="21"/>
                <w:lang w:val="en-US" w:eastAsia="zh-CN" w:bidi="ar"/>
              </w:rPr>
              <w:t>2</w:t>
            </w:r>
            <w:r>
              <w:rPr>
                <w:rFonts w:hint="eastAsia" w:ascii="宋体" w:hAnsi="宋体" w:cs="宋体"/>
                <w:b/>
                <w:spacing w:val="-6"/>
                <w:kern w:val="0"/>
                <w:szCs w:val="21"/>
                <w:lang w:eastAsia="zh-CN" w:bidi="ar"/>
              </w:rPr>
              <w:t>）</w:t>
            </w:r>
            <w:r>
              <w:rPr>
                <w:rFonts w:hint="eastAsia" w:ascii="宋体" w:hAnsi="宋体" w:cs="宋体"/>
                <w:b/>
                <w:spacing w:val="-6"/>
                <w:kern w:val="0"/>
                <w:szCs w:val="21"/>
                <w:lang w:bidi="ar"/>
              </w:rPr>
              <w:t>车辆的运维、调度管理方案（满分 12 分）</w:t>
            </w:r>
          </w:p>
          <w:p w14:paraId="545A0281">
            <w:pPr>
              <w:pStyle w:val="28"/>
              <w:spacing w:line="400" w:lineRule="exact"/>
              <w:ind w:firstLine="420"/>
              <w:rPr>
                <w:rFonts w:hAnsi="宋体" w:cs="宋体"/>
                <w:spacing w:val="-6"/>
                <w:sz w:val="21"/>
                <w:lang w:bidi="ar"/>
              </w:rPr>
            </w:pPr>
            <w:r>
              <w:rPr>
                <w:rFonts w:hint="eastAsia" w:hAnsi="宋体" w:cs="宋体"/>
                <w:spacing w:val="-6"/>
                <w:sz w:val="21"/>
                <w:lang w:bidi="ar"/>
              </w:rPr>
              <w:t>供应商根据本项目需求提供的车辆的运维、调度管理方案：方案编制针对本项目提供健全的运营管理服务，配备与车辆投放规模相适应的运维团队，且运维团队为平台自身团队，即实行明码标价并有便利的车辆使用平台支持，APP、微信或支付宝，公布符合有关规定的计费方式和计费标准，用户采用实名注册，仅支持 16 岁以上的用户群注册使用，运营车辆具备语音定制播报功能并通过一定方式给予提示、拥有持续的用户教育管理机制，如拉黑、文明用车惩罚等，配置专门的调度车辆、安排专人调度校园重要区域共享单车的停放，有完善的安全机制保证安全的、安全事故处理方案针对各类事故有比较完善的应对措施，能够做到及时响应、用户违规停放、违规骑行的管控方案能够有比较完善且科学有效的解决问题，提供材料清楚、明确、合理的赋予；</w:t>
            </w:r>
          </w:p>
          <w:p w14:paraId="4B2E6F83">
            <w:pPr>
              <w:pStyle w:val="28"/>
              <w:spacing w:line="400" w:lineRule="exact"/>
              <w:ind w:firstLine="420"/>
              <w:rPr>
                <w:rFonts w:hAnsi="宋体" w:cs="宋体"/>
                <w:spacing w:val="-6"/>
                <w:sz w:val="21"/>
                <w:lang w:bidi="ar"/>
              </w:rPr>
            </w:pPr>
            <w:r>
              <w:rPr>
                <w:rFonts w:hint="eastAsia" w:hAnsi="宋体" w:cs="宋体"/>
                <w:spacing w:val="-6"/>
                <w:sz w:val="21"/>
                <w:lang w:bidi="ar"/>
              </w:rPr>
              <w:t>方案编制基本能针对本项目基本能够提供运营管理服务，基本能配备与车辆投放规模相适应的运维团队，基本能配置专门的调度车辆、基本能安排专人调度校园重要区域共享单车的停放、基本能配备有用于共享单车停放的地点，有安全机制保证安全的、安全事故处理方案针对各类事故有基本完善的应对措施，基本能够做到响应、用户违规停放、违规骑行的管控方案基本能够解决问题，提供材料基本清楚、基本明确、基本合理的赋予。评分内容如下：</w:t>
            </w:r>
          </w:p>
          <w:p w14:paraId="0075DA87">
            <w:pPr>
              <w:pStyle w:val="28"/>
              <w:spacing w:line="400" w:lineRule="exact"/>
              <w:ind w:firstLine="420"/>
              <w:rPr>
                <w:rFonts w:hAnsi="宋体" w:cs="宋体"/>
                <w:spacing w:val="-6"/>
                <w:sz w:val="21"/>
                <w:lang w:bidi="ar"/>
              </w:rPr>
            </w:pPr>
            <w:r>
              <w:rPr>
                <w:rFonts w:hint="eastAsia" w:hAnsi="宋体" w:cs="宋体"/>
                <w:spacing w:val="-6"/>
                <w:sz w:val="21"/>
                <w:lang w:bidi="ar"/>
              </w:rPr>
              <w:t>一档（12分）：方案编制针对性强，方案详尽周密，方法科学、可行。用户违规停放、违规骑行的管控方案能比较完善、科学、有效的解决问题。</w:t>
            </w:r>
          </w:p>
          <w:p w14:paraId="3D1D710F">
            <w:pPr>
              <w:pStyle w:val="28"/>
              <w:spacing w:line="400" w:lineRule="exact"/>
              <w:ind w:firstLine="420"/>
              <w:rPr>
                <w:rFonts w:hAnsi="宋体" w:cs="宋体"/>
                <w:spacing w:val="-6"/>
                <w:sz w:val="21"/>
                <w:lang w:bidi="ar"/>
              </w:rPr>
            </w:pPr>
            <w:r>
              <w:rPr>
                <w:rFonts w:hint="eastAsia" w:hAnsi="宋体" w:cs="宋体"/>
                <w:spacing w:val="-6"/>
                <w:sz w:val="21"/>
                <w:lang w:bidi="ar"/>
              </w:rPr>
              <w:t>二档（9分）：方案符合项目实际，方案齐全，方法合理、可行。</w:t>
            </w:r>
          </w:p>
          <w:p w14:paraId="7EB9F79F">
            <w:pPr>
              <w:pStyle w:val="28"/>
              <w:spacing w:line="400" w:lineRule="exact"/>
              <w:ind w:firstLine="420"/>
              <w:rPr>
                <w:rFonts w:hAnsi="宋体" w:cs="宋体"/>
                <w:spacing w:val="-6"/>
                <w:sz w:val="21"/>
                <w:lang w:bidi="ar"/>
              </w:rPr>
            </w:pPr>
            <w:r>
              <w:rPr>
                <w:rFonts w:hint="eastAsia" w:hAnsi="宋体" w:cs="宋体"/>
                <w:spacing w:val="-6"/>
                <w:sz w:val="21"/>
                <w:lang w:bidi="ar"/>
              </w:rPr>
              <w:t>三档（6分）：方案基本符合项目实际，方案基本齐全，方法基本合理、基本可行。</w:t>
            </w:r>
          </w:p>
          <w:p w14:paraId="7055380A">
            <w:pPr>
              <w:pStyle w:val="28"/>
              <w:spacing w:line="400" w:lineRule="exact"/>
              <w:ind w:firstLine="420"/>
              <w:rPr>
                <w:rFonts w:hAnsi="宋体" w:cs="宋体"/>
                <w:spacing w:val="-6"/>
                <w:sz w:val="21"/>
                <w:lang w:bidi="ar"/>
              </w:rPr>
            </w:pPr>
            <w:r>
              <w:rPr>
                <w:rFonts w:hint="eastAsia" w:hAnsi="宋体" w:cs="宋体"/>
                <w:spacing w:val="-6"/>
                <w:sz w:val="21"/>
                <w:lang w:bidi="ar"/>
              </w:rPr>
              <w:t>不提供不得分。</w:t>
            </w:r>
          </w:p>
        </w:tc>
      </w:tr>
      <w:tr w14:paraId="4D696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4" w:hRule="atLeast"/>
          <w:jc w:val="center"/>
        </w:trPr>
        <w:tc>
          <w:tcPr>
            <w:tcW w:w="631" w:type="dxa"/>
            <w:vMerge w:val="continue"/>
            <w:tcBorders>
              <w:left w:val="single" w:color="auto" w:sz="4" w:space="0"/>
              <w:right w:val="single" w:color="auto" w:sz="4" w:space="0"/>
            </w:tcBorders>
            <w:vAlign w:val="center"/>
          </w:tcPr>
          <w:p w14:paraId="07189565">
            <w:pPr>
              <w:widowControl/>
              <w:spacing w:line="400" w:lineRule="exact"/>
              <w:jc w:val="center"/>
              <w:rPr>
                <w:rFonts w:ascii="宋体" w:hAnsi="宋体" w:cs="宋体"/>
                <w:kern w:val="0"/>
                <w:szCs w:val="21"/>
              </w:rPr>
            </w:pPr>
          </w:p>
        </w:tc>
        <w:tc>
          <w:tcPr>
            <w:tcW w:w="993" w:type="dxa"/>
            <w:vMerge w:val="continue"/>
            <w:tcBorders>
              <w:left w:val="single" w:color="auto" w:sz="4" w:space="0"/>
              <w:right w:val="single" w:color="auto" w:sz="4" w:space="0"/>
            </w:tcBorders>
            <w:vAlign w:val="center"/>
          </w:tcPr>
          <w:p w14:paraId="5578EB3D">
            <w:pPr>
              <w:widowControl/>
              <w:spacing w:line="400" w:lineRule="exact"/>
              <w:rPr>
                <w:rFonts w:ascii="宋体" w:hAnsi="宋体" w:cs="宋体"/>
                <w:kern w:val="0"/>
                <w:szCs w:val="21"/>
              </w:rPr>
            </w:pPr>
          </w:p>
        </w:tc>
        <w:tc>
          <w:tcPr>
            <w:tcW w:w="7328" w:type="dxa"/>
            <w:tcBorders>
              <w:top w:val="single" w:color="auto" w:sz="4" w:space="0"/>
              <w:left w:val="single" w:color="auto" w:sz="4" w:space="0"/>
              <w:bottom w:val="single" w:color="auto" w:sz="4" w:space="0"/>
              <w:right w:val="single" w:color="auto" w:sz="4" w:space="0"/>
            </w:tcBorders>
          </w:tcPr>
          <w:p w14:paraId="0799D9BD">
            <w:pPr>
              <w:pStyle w:val="8"/>
              <w:keepNext w:val="0"/>
              <w:keepLines w:val="0"/>
              <w:pageBreakBefore w:val="0"/>
              <w:widowControl w:val="0"/>
              <w:kinsoku/>
              <w:wordWrap/>
              <w:overflowPunct/>
              <w:topLinePunct w:val="0"/>
              <w:autoSpaceDE/>
              <w:autoSpaceDN/>
              <w:bidi w:val="0"/>
              <w:adjustRightInd/>
              <w:snapToGrid/>
              <w:ind w:firstLine="462" w:firstLineChars="200"/>
              <w:textAlignment w:val="auto"/>
              <w:rPr>
                <w:rFonts w:ascii="宋体" w:hAnsi="宋体" w:cs="宋体"/>
                <w:b/>
                <w:bCs w:val="0"/>
                <w:sz w:val="21"/>
                <w:szCs w:val="21"/>
              </w:rPr>
            </w:pPr>
            <w:r>
              <w:rPr>
                <w:rFonts w:hint="eastAsia" w:ascii="宋体" w:hAnsi="宋体" w:cs="宋体"/>
                <w:b/>
                <w:bCs w:val="0"/>
                <w:sz w:val="21"/>
                <w:szCs w:val="21"/>
                <w:lang w:eastAsia="zh-CN"/>
              </w:rPr>
              <w:t>（</w:t>
            </w:r>
            <w:r>
              <w:rPr>
                <w:rFonts w:hint="eastAsia" w:ascii="宋体" w:hAnsi="宋体" w:cs="宋体"/>
                <w:b/>
                <w:bCs w:val="0"/>
                <w:sz w:val="21"/>
                <w:szCs w:val="21"/>
                <w:lang w:val="en-US" w:eastAsia="zh-CN"/>
              </w:rPr>
              <w:t>3</w:t>
            </w:r>
            <w:r>
              <w:rPr>
                <w:rFonts w:hint="eastAsia" w:ascii="宋体" w:hAnsi="宋体" w:cs="宋体"/>
                <w:b/>
                <w:bCs w:val="0"/>
                <w:sz w:val="21"/>
                <w:szCs w:val="21"/>
                <w:lang w:eastAsia="zh-CN"/>
              </w:rPr>
              <w:t>）</w:t>
            </w:r>
            <w:r>
              <w:rPr>
                <w:rFonts w:hint="eastAsia" w:ascii="宋体" w:hAnsi="宋体" w:cs="宋体"/>
                <w:b/>
                <w:bCs w:val="0"/>
                <w:sz w:val="21"/>
                <w:szCs w:val="21"/>
              </w:rPr>
              <w:t>车辆质量管理方案（满分12分）</w:t>
            </w:r>
          </w:p>
          <w:p w14:paraId="559F695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szCs w:val="21"/>
                <w:lang w:bidi="ar"/>
              </w:rPr>
            </w:pPr>
            <w:r>
              <w:rPr>
                <w:rFonts w:hint="eastAsia" w:ascii="宋体" w:hAnsi="宋体" w:cs="宋体"/>
                <w:szCs w:val="21"/>
                <w:lang w:bidi="ar"/>
              </w:rPr>
              <w:t>供应商根据本项目需求提供的车辆质量管理方案：方案编制中明确（承诺行业技术强制标准，性能安全，质量可靠）；提供相关证明材料复印件并加盖公章；有车辆卫星定位和智能通讯控制模块的智能锁、性能完好、车身整洁，车辆自身二维码清晰安全的赋予。评分内容如下：</w:t>
            </w:r>
          </w:p>
          <w:p w14:paraId="147B849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szCs w:val="21"/>
                <w:lang w:bidi="ar"/>
              </w:rPr>
            </w:pPr>
            <w:r>
              <w:rPr>
                <w:rFonts w:hint="eastAsia" w:ascii="宋体" w:hAnsi="宋体" w:cs="宋体"/>
                <w:szCs w:val="21"/>
                <w:lang w:bidi="ar"/>
              </w:rPr>
              <w:t>一档（12分）：方案编制针对性强，方案详尽周密，方法科学、可行。有车辆卫星定位和智能通讯控制模块的智能锁、性能完好、车身整洁，车辆自身二维码清晰安全的赋予。</w:t>
            </w:r>
          </w:p>
          <w:p w14:paraId="581E751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szCs w:val="21"/>
                <w:lang w:bidi="ar"/>
              </w:rPr>
            </w:pPr>
            <w:r>
              <w:rPr>
                <w:rFonts w:hint="eastAsia" w:ascii="宋体" w:hAnsi="宋体" w:cs="宋体"/>
                <w:szCs w:val="21"/>
                <w:lang w:bidi="ar"/>
              </w:rPr>
              <w:t>二档（9分）：方案符合项目实际，方案齐全，方法合理、可行。车辆性能完好、车身整洁，车辆自身二维码清晰安全。</w:t>
            </w:r>
          </w:p>
          <w:p w14:paraId="34D25DC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szCs w:val="21"/>
                <w:lang w:bidi="ar"/>
              </w:rPr>
            </w:pPr>
            <w:r>
              <w:rPr>
                <w:rFonts w:hint="eastAsia" w:ascii="宋体" w:hAnsi="宋体" w:cs="宋体"/>
                <w:szCs w:val="21"/>
                <w:lang w:bidi="ar"/>
              </w:rPr>
              <w:t>三档（6分）：方案基本符合项目实际，方案基本齐全，方法基本合理、基本可行。</w:t>
            </w:r>
          </w:p>
        </w:tc>
      </w:tr>
      <w:tr w14:paraId="37843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31" w:type="dxa"/>
            <w:vMerge w:val="continue"/>
            <w:tcBorders>
              <w:left w:val="single" w:color="auto" w:sz="4" w:space="0"/>
              <w:bottom w:val="single" w:color="auto" w:sz="4" w:space="0"/>
              <w:right w:val="single" w:color="auto" w:sz="4" w:space="0"/>
            </w:tcBorders>
            <w:vAlign w:val="center"/>
          </w:tcPr>
          <w:p w14:paraId="307139EF">
            <w:pPr>
              <w:widowControl/>
              <w:spacing w:line="400" w:lineRule="exact"/>
              <w:jc w:val="center"/>
              <w:rPr>
                <w:rFonts w:ascii="宋体" w:hAnsi="宋体" w:cs="宋体"/>
                <w:kern w:val="0"/>
                <w:szCs w:val="21"/>
              </w:rPr>
            </w:pPr>
          </w:p>
        </w:tc>
        <w:tc>
          <w:tcPr>
            <w:tcW w:w="993" w:type="dxa"/>
            <w:vMerge w:val="continue"/>
            <w:tcBorders>
              <w:left w:val="single" w:color="auto" w:sz="4" w:space="0"/>
              <w:bottom w:val="single" w:color="auto" w:sz="4" w:space="0"/>
              <w:right w:val="single" w:color="auto" w:sz="4" w:space="0"/>
            </w:tcBorders>
            <w:vAlign w:val="center"/>
          </w:tcPr>
          <w:p w14:paraId="2B684F3B">
            <w:pPr>
              <w:widowControl/>
              <w:spacing w:line="400" w:lineRule="exact"/>
              <w:rPr>
                <w:rFonts w:ascii="宋体" w:hAnsi="宋体" w:cs="宋体"/>
                <w:kern w:val="0"/>
                <w:szCs w:val="21"/>
              </w:rPr>
            </w:pPr>
          </w:p>
        </w:tc>
        <w:tc>
          <w:tcPr>
            <w:tcW w:w="7328" w:type="dxa"/>
            <w:tcBorders>
              <w:top w:val="single" w:color="auto" w:sz="4" w:space="0"/>
              <w:left w:val="single" w:color="auto" w:sz="4" w:space="0"/>
              <w:bottom w:val="single" w:color="auto" w:sz="4" w:space="0"/>
              <w:right w:val="single" w:color="auto" w:sz="4" w:space="0"/>
            </w:tcBorders>
          </w:tcPr>
          <w:p w14:paraId="17576EFC">
            <w:pPr>
              <w:spacing w:line="360" w:lineRule="exact"/>
              <w:ind w:firstLine="422" w:firstLineChars="200"/>
              <w:jc w:val="left"/>
              <w:rPr>
                <w:rFonts w:ascii="宋体" w:hAnsi="宋体" w:cs="宋体"/>
                <w:b/>
                <w:bCs/>
                <w:kern w:val="0"/>
                <w:szCs w:val="21"/>
              </w:rPr>
            </w:pPr>
            <w:r>
              <w:rPr>
                <w:rFonts w:hint="eastAsia" w:ascii="宋体" w:hAnsi="宋体" w:cs="宋体"/>
                <w:b/>
                <w:bCs/>
                <w:kern w:val="0"/>
                <w:szCs w:val="21"/>
                <w:lang w:eastAsia="zh-CN"/>
              </w:rPr>
              <w:t>（</w:t>
            </w:r>
            <w:r>
              <w:rPr>
                <w:rFonts w:hint="eastAsia" w:ascii="宋体" w:hAnsi="宋体" w:cs="宋体"/>
                <w:b/>
                <w:bCs/>
                <w:kern w:val="0"/>
                <w:szCs w:val="21"/>
                <w:lang w:val="en-US" w:eastAsia="zh-CN"/>
              </w:rPr>
              <w:t>4</w:t>
            </w:r>
            <w:r>
              <w:rPr>
                <w:rFonts w:hint="eastAsia" w:ascii="宋体" w:hAnsi="宋体" w:cs="宋体"/>
                <w:b/>
                <w:bCs/>
                <w:kern w:val="0"/>
                <w:szCs w:val="21"/>
                <w:lang w:eastAsia="zh-CN"/>
              </w:rPr>
              <w:t>）</w:t>
            </w:r>
            <w:r>
              <w:rPr>
                <w:rFonts w:hint="eastAsia" w:ascii="宋体" w:hAnsi="宋体" w:cs="宋体"/>
                <w:b/>
                <w:bCs/>
                <w:kern w:val="0"/>
                <w:szCs w:val="21"/>
              </w:rPr>
              <w:t>运营服务管理方案（满分10分）</w:t>
            </w:r>
          </w:p>
          <w:p w14:paraId="61BFAF97">
            <w:pPr>
              <w:spacing w:line="500" w:lineRule="exact"/>
              <w:ind w:firstLine="420" w:firstLineChars="200"/>
              <w:rPr>
                <w:rFonts w:ascii="宋体" w:hAnsi="宋体" w:cs="宋体"/>
                <w:kern w:val="0"/>
                <w:szCs w:val="21"/>
              </w:rPr>
            </w:pPr>
            <w:r>
              <w:rPr>
                <w:rFonts w:hint="eastAsia" w:ascii="宋体" w:hAnsi="宋体" w:cs="宋体"/>
                <w:kern w:val="0"/>
                <w:szCs w:val="21"/>
              </w:rPr>
              <w:t>一档（10 分）：供应商提供的运营服务管理方案编制针对性强，运营服务管理方案有保障响应措施，运营服务管理方案细致、合理，保障响应措施较有力，方案详尽周密，方法科学，投入校区管理共享单车的人员符合采购人要求（武鸣校区每天至少有3名管理员、五合校区每天至少有1名管理员，遇学校有重大活动需要增加维护共享单车秩序人员时，供应商须按采购人要求无条件调配足够人员维护车辆停放秩序）。现场网格服务人员应穿着或者佩戴标明单位的服务标志。武鸣校区现场网格维护车辆秩序服务人员晚上保持有人上班到23:00，将各区域停放的共享单车整理摆放整齐包括但不限于清理占用消防通道和机动车通道、行人通道的单车方可下班。</w:t>
            </w:r>
          </w:p>
          <w:p w14:paraId="01DDB4D1">
            <w:pPr>
              <w:spacing w:line="500" w:lineRule="exact"/>
              <w:ind w:firstLine="420" w:firstLineChars="200"/>
              <w:jc w:val="left"/>
              <w:rPr>
                <w:rFonts w:ascii="宋体" w:hAnsi="宋体" w:cs="宋体"/>
                <w:kern w:val="0"/>
                <w:szCs w:val="21"/>
              </w:rPr>
            </w:pPr>
            <w:r>
              <w:rPr>
                <w:rFonts w:hint="eastAsia" w:ascii="宋体" w:hAnsi="宋体" w:cs="宋体"/>
                <w:kern w:val="0"/>
                <w:szCs w:val="21"/>
              </w:rPr>
              <w:t>二档（7分）：供应商提供的运营服务管理方案有保障响应措施，运营服务管理方案可行，运营服务管理方案细致、合理，保障响应措施较有力；</w:t>
            </w:r>
          </w:p>
          <w:p w14:paraId="058611F9">
            <w:pPr>
              <w:spacing w:line="500" w:lineRule="exact"/>
              <w:ind w:firstLine="420" w:firstLineChars="200"/>
              <w:jc w:val="left"/>
              <w:rPr>
                <w:rFonts w:ascii="宋体" w:hAnsi="宋体" w:cs="宋体"/>
                <w:kern w:val="0"/>
                <w:szCs w:val="21"/>
              </w:rPr>
            </w:pPr>
            <w:r>
              <w:rPr>
                <w:rFonts w:hint="eastAsia" w:ascii="宋体" w:hAnsi="宋体" w:cs="宋体"/>
                <w:kern w:val="0"/>
                <w:szCs w:val="21"/>
              </w:rPr>
              <w:t>三档（4分）：供应商提供的运营服务管理方案有保障响应措施，运营管理服务管理基本符合本次项目需求。</w:t>
            </w:r>
          </w:p>
          <w:p w14:paraId="69FC6A1D">
            <w:pPr>
              <w:spacing w:line="500" w:lineRule="exact"/>
              <w:ind w:firstLine="420" w:firstLineChars="200"/>
              <w:jc w:val="left"/>
              <w:rPr>
                <w:rFonts w:ascii="宋体" w:hAnsi="宋体" w:cs="宋体"/>
                <w:b/>
                <w:bCs/>
                <w:kern w:val="0"/>
                <w:szCs w:val="21"/>
              </w:rPr>
            </w:pPr>
            <w:r>
              <w:rPr>
                <w:rFonts w:hint="eastAsia" w:ascii="宋体" w:hAnsi="宋体" w:cs="宋体"/>
                <w:kern w:val="0"/>
                <w:szCs w:val="21"/>
              </w:rPr>
              <w:t>未提供不得分。</w:t>
            </w:r>
          </w:p>
        </w:tc>
      </w:tr>
      <w:tr w14:paraId="4F018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631" w:type="dxa"/>
            <w:tcBorders>
              <w:top w:val="single" w:color="auto" w:sz="4" w:space="0"/>
              <w:left w:val="single" w:color="auto" w:sz="4" w:space="0"/>
              <w:bottom w:val="single" w:color="auto" w:sz="4" w:space="0"/>
              <w:right w:val="single" w:color="auto" w:sz="4" w:space="0"/>
            </w:tcBorders>
            <w:vAlign w:val="center"/>
          </w:tcPr>
          <w:p w14:paraId="14DC0365">
            <w:pPr>
              <w:widowControl/>
              <w:spacing w:line="400" w:lineRule="exact"/>
              <w:jc w:val="center"/>
              <w:rPr>
                <w:rFonts w:ascii="宋体" w:hAnsi="宋体" w:cs="宋体"/>
                <w:bCs/>
                <w:kern w:val="0"/>
                <w:szCs w:val="21"/>
              </w:rPr>
            </w:pPr>
            <w:r>
              <w:rPr>
                <w:rFonts w:hint="eastAsia" w:ascii="宋体" w:hAnsi="宋体" w:cs="宋体"/>
                <w:bCs/>
                <w:kern w:val="0"/>
                <w:szCs w:val="21"/>
              </w:rPr>
              <w:t>3</w:t>
            </w:r>
          </w:p>
        </w:tc>
        <w:tc>
          <w:tcPr>
            <w:tcW w:w="993" w:type="dxa"/>
            <w:tcBorders>
              <w:top w:val="single" w:color="auto" w:sz="4" w:space="0"/>
              <w:left w:val="single" w:color="auto" w:sz="4" w:space="0"/>
              <w:bottom w:val="single" w:color="auto" w:sz="4" w:space="0"/>
              <w:right w:val="single" w:color="auto" w:sz="4" w:space="0"/>
            </w:tcBorders>
            <w:vAlign w:val="center"/>
          </w:tcPr>
          <w:p w14:paraId="6FDB7464">
            <w:pPr>
              <w:widowControl/>
              <w:spacing w:line="400" w:lineRule="exact"/>
              <w:jc w:val="left"/>
              <w:rPr>
                <w:rFonts w:ascii="宋体" w:hAnsi="宋体" w:cs="宋体"/>
                <w:szCs w:val="21"/>
              </w:rPr>
            </w:pPr>
            <w:r>
              <w:rPr>
                <w:rFonts w:hint="eastAsia" w:ascii="宋体" w:hAnsi="宋体" w:cs="宋体"/>
                <w:b/>
                <w:szCs w:val="21"/>
              </w:rPr>
              <w:t>商务分（满分25分）</w:t>
            </w:r>
          </w:p>
        </w:tc>
        <w:tc>
          <w:tcPr>
            <w:tcW w:w="7328" w:type="dxa"/>
            <w:tcBorders>
              <w:top w:val="single" w:color="auto" w:sz="4" w:space="0"/>
              <w:left w:val="single" w:color="auto" w:sz="4" w:space="0"/>
              <w:bottom w:val="single" w:color="auto" w:sz="4" w:space="0"/>
              <w:right w:val="single" w:color="auto" w:sz="4" w:space="0"/>
            </w:tcBorders>
            <w:vAlign w:val="center"/>
          </w:tcPr>
          <w:p w14:paraId="6E90476F">
            <w:pPr>
              <w:spacing w:line="400" w:lineRule="exact"/>
              <w:ind w:firstLine="422" w:firstLineChars="200"/>
              <w:rPr>
                <w:rFonts w:ascii="宋体" w:hAnsi="宋体" w:cs="宋体"/>
                <w:b/>
                <w:bCs/>
                <w:szCs w:val="21"/>
              </w:rPr>
            </w:pPr>
            <w:r>
              <w:rPr>
                <w:rFonts w:hint="eastAsia" w:ascii="宋体" w:hAnsi="宋体" w:cs="宋体"/>
                <w:b/>
                <w:bCs/>
                <w:szCs w:val="21"/>
              </w:rPr>
              <w:t>（1）类似项目业绩，满分5分</w:t>
            </w:r>
          </w:p>
          <w:p w14:paraId="21FDE7F0">
            <w:pPr>
              <w:spacing w:line="360" w:lineRule="auto"/>
              <w:ind w:firstLine="420" w:firstLineChars="200"/>
              <w:rPr>
                <w:rFonts w:ascii="宋体" w:hAnsi="宋体" w:cs="宋体"/>
                <w:szCs w:val="21"/>
              </w:rPr>
            </w:pPr>
            <w:r>
              <w:rPr>
                <w:rFonts w:hint="eastAsia" w:ascii="宋体" w:hAnsi="宋体" w:cs="宋体"/>
                <w:szCs w:val="21"/>
              </w:rPr>
              <w:t>供应商（2022 年1 1 月 1 日～至今）具有类似一个业绩的得 1 分，增加一个加 1 分，满分5 分。注：类似业绩证明材料以合同复印件（须加盖公章）为准。</w:t>
            </w:r>
          </w:p>
          <w:p w14:paraId="74AED52A">
            <w:pPr>
              <w:spacing w:line="400" w:lineRule="exact"/>
              <w:ind w:firstLine="422" w:firstLineChars="200"/>
              <w:rPr>
                <w:rFonts w:ascii="宋体" w:hAnsi="宋体" w:cs="宋体"/>
                <w:b/>
                <w:bCs/>
                <w:szCs w:val="21"/>
                <w:lang w:bidi="zh-TW"/>
              </w:rPr>
            </w:pPr>
            <w:r>
              <w:rPr>
                <w:rFonts w:hint="eastAsia" w:ascii="宋体" w:hAnsi="宋体" w:cs="宋体"/>
                <w:b/>
                <w:bCs/>
                <w:szCs w:val="21"/>
              </w:rPr>
              <w:t>（2）车辆检测报告，满分5分</w:t>
            </w:r>
          </w:p>
          <w:p w14:paraId="0AC20BAE">
            <w:pPr>
              <w:spacing w:line="360" w:lineRule="auto"/>
              <w:rPr>
                <w:rFonts w:ascii="宋体" w:hAnsi="宋体" w:cs="宋体"/>
                <w:szCs w:val="21"/>
                <w:lang w:bidi="zh-TW"/>
              </w:rPr>
            </w:pPr>
            <w:r>
              <w:rPr>
                <w:rFonts w:hint="eastAsia" w:ascii="宋体" w:hAnsi="宋体" w:cs="宋体"/>
                <w:szCs w:val="21"/>
                <w:lang w:bidi="zh-TW"/>
              </w:rPr>
              <w:t xml:space="preserve">   结合本项目实际情况，供应商提供车辆 3C 认证得 2分，提供整车第三方检验合格报告和产品合格证得 3分；满分5 分。（须提供有效期内的认证证书复印件及相关材料加盖公章，未提供不得分）。</w:t>
            </w:r>
          </w:p>
          <w:p w14:paraId="330D5A1C">
            <w:pPr>
              <w:spacing w:line="400" w:lineRule="exact"/>
              <w:ind w:firstLine="422" w:firstLineChars="200"/>
              <w:rPr>
                <w:rFonts w:ascii="宋体" w:hAnsi="宋体" w:cs="宋体"/>
                <w:szCs w:val="21"/>
                <w:lang w:bidi="zh-TW"/>
              </w:rPr>
            </w:pPr>
            <w:r>
              <w:rPr>
                <w:rFonts w:hint="eastAsia" w:ascii="宋体" w:hAnsi="宋体" w:cs="宋体"/>
                <w:b/>
                <w:bCs/>
                <w:szCs w:val="21"/>
                <w:lang w:bidi="zh-TW"/>
              </w:rPr>
              <w:t>（3）供应商购买人身意外伤害险及第三责任险，满分10分</w:t>
            </w:r>
          </w:p>
          <w:p w14:paraId="73358D2A">
            <w:pPr>
              <w:spacing w:line="400" w:lineRule="exact"/>
              <w:ind w:firstLine="420" w:firstLineChars="200"/>
              <w:rPr>
                <w:rFonts w:ascii="宋体" w:hAnsi="宋体" w:cs="宋体"/>
                <w:szCs w:val="21"/>
                <w:lang w:bidi="zh-TW"/>
              </w:rPr>
            </w:pPr>
            <w:r>
              <w:rPr>
                <w:rFonts w:hint="eastAsia" w:ascii="宋体" w:hAnsi="宋体" w:cs="宋体"/>
                <w:szCs w:val="21"/>
                <w:lang w:bidi="zh-TW"/>
              </w:rPr>
              <w:t>1、供应商购买人身意外伤害险及第三责任险30万，得4分；</w:t>
            </w:r>
          </w:p>
          <w:p w14:paraId="275A8E19">
            <w:pPr>
              <w:spacing w:line="400" w:lineRule="exact"/>
              <w:ind w:firstLine="420" w:firstLineChars="200"/>
              <w:rPr>
                <w:rFonts w:ascii="宋体" w:hAnsi="宋体" w:cs="宋体"/>
                <w:szCs w:val="21"/>
                <w:lang w:bidi="zh-TW"/>
              </w:rPr>
            </w:pPr>
            <w:r>
              <w:rPr>
                <w:rFonts w:hint="eastAsia" w:ascii="宋体" w:hAnsi="宋体" w:cs="宋体"/>
                <w:szCs w:val="21"/>
                <w:lang w:bidi="zh-TW"/>
              </w:rPr>
              <w:t>2、供应商购买人身意外伤害险及第三责任险31-50万，得7分；</w:t>
            </w:r>
          </w:p>
          <w:p w14:paraId="68B4CCB0">
            <w:pPr>
              <w:spacing w:line="400" w:lineRule="exact"/>
              <w:ind w:firstLine="420" w:firstLineChars="200"/>
              <w:rPr>
                <w:rFonts w:ascii="宋体" w:hAnsi="宋体" w:cs="宋体"/>
                <w:szCs w:val="21"/>
                <w:lang w:bidi="zh-TW"/>
              </w:rPr>
            </w:pPr>
            <w:r>
              <w:rPr>
                <w:rFonts w:hint="eastAsia" w:ascii="宋体" w:hAnsi="宋体" w:cs="宋体"/>
                <w:szCs w:val="21"/>
                <w:lang w:bidi="zh-TW"/>
              </w:rPr>
              <w:t>3、供应商购买人身意外伤害险及第三责任险51万以上，得10分。</w:t>
            </w:r>
          </w:p>
          <w:p w14:paraId="5BC31968">
            <w:pPr>
              <w:spacing w:line="400" w:lineRule="exact"/>
              <w:ind w:firstLine="422" w:firstLineChars="200"/>
              <w:rPr>
                <w:rFonts w:ascii="宋体" w:hAnsi="宋体" w:cs="宋体"/>
                <w:b/>
                <w:bCs/>
                <w:szCs w:val="21"/>
                <w:lang w:bidi="zh-TW"/>
              </w:rPr>
            </w:pPr>
            <w:r>
              <w:rPr>
                <w:rFonts w:hint="eastAsia" w:ascii="宋体" w:hAnsi="宋体" w:cs="宋体"/>
                <w:b/>
                <w:bCs/>
                <w:szCs w:val="21"/>
                <w:lang w:bidi="zh-TW"/>
              </w:rPr>
              <w:t>注：提供保险凭证复印件并加盖供应商公章，不提供不得分。</w:t>
            </w:r>
          </w:p>
          <w:p w14:paraId="049FEF4F">
            <w:pPr>
              <w:spacing w:line="400" w:lineRule="exact"/>
              <w:ind w:firstLine="422" w:firstLineChars="200"/>
              <w:rPr>
                <w:rFonts w:ascii="宋体" w:hAnsi="宋体" w:cs="宋体"/>
                <w:b/>
                <w:bCs/>
                <w:szCs w:val="21"/>
                <w:lang w:bidi="zh-TW"/>
              </w:rPr>
            </w:pPr>
            <w:r>
              <w:rPr>
                <w:rFonts w:hint="eastAsia" w:ascii="宋体" w:hAnsi="宋体" w:cs="宋体"/>
                <w:b/>
                <w:bCs/>
                <w:szCs w:val="21"/>
                <w:lang w:bidi="zh-TW"/>
              </w:rPr>
              <w:t>（4）企业综合实力，满分5分</w:t>
            </w:r>
          </w:p>
          <w:p w14:paraId="6A87AC34">
            <w:pPr>
              <w:spacing w:line="400" w:lineRule="exact"/>
              <w:ind w:firstLine="210" w:firstLineChars="100"/>
              <w:rPr>
                <w:rFonts w:ascii="宋体" w:hAnsi="宋体" w:cs="宋体"/>
                <w:szCs w:val="21"/>
                <w:lang w:bidi="zh-TW"/>
              </w:rPr>
            </w:pPr>
            <w:r>
              <w:rPr>
                <w:rFonts w:hint="eastAsia" w:ascii="宋体" w:hAnsi="宋体" w:cs="宋体"/>
                <w:szCs w:val="21"/>
                <w:lang w:bidi="zh-TW"/>
              </w:rPr>
              <w:t>供应商或软件产品厂商具有：</w:t>
            </w:r>
          </w:p>
          <w:p w14:paraId="2B9545B0">
            <w:pPr>
              <w:spacing w:line="400" w:lineRule="exact"/>
              <w:ind w:firstLine="420" w:firstLineChars="200"/>
              <w:rPr>
                <w:rFonts w:ascii="宋体" w:hAnsi="宋体" w:cs="宋体"/>
                <w:szCs w:val="21"/>
                <w:lang w:bidi="zh-TW"/>
              </w:rPr>
            </w:pPr>
            <w:r>
              <w:rPr>
                <w:rFonts w:hint="eastAsia" w:ascii="宋体" w:hAnsi="宋体" w:cs="宋体"/>
                <w:szCs w:val="21"/>
                <w:lang w:bidi="zh-TW"/>
              </w:rPr>
              <w:t>1、ISO9001质量管理体系认证证书得1分；</w:t>
            </w:r>
          </w:p>
          <w:p w14:paraId="33A8D979">
            <w:pPr>
              <w:spacing w:line="400" w:lineRule="exact"/>
              <w:ind w:firstLine="420" w:firstLineChars="200"/>
              <w:rPr>
                <w:rFonts w:ascii="宋体" w:hAnsi="宋体" w:cs="宋体"/>
                <w:szCs w:val="21"/>
                <w:lang w:bidi="zh-TW"/>
              </w:rPr>
            </w:pPr>
            <w:r>
              <w:rPr>
                <w:rFonts w:hint="eastAsia" w:ascii="宋体" w:hAnsi="宋体" w:cs="宋体"/>
                <w:szCs w:val="21"/>
                <w:lang w:bidi="zh-TW"/>
              </w:rPr>
              <w:t>2、ISO20000信息技术服务管理体系认证证书，得1分；</w:t>
            </w:r>
          </w:p>
          <w:p w14:paraId="0E6592ED">
            <w:pPr>
              <w:spacing w:line="400" w:lineRule="exact"/>
              <w:ind w:firstLine="420" w:firstLineChars="200"/>
              <w:rPr>
                <w:rFonts w:ascii="宋体" w:hAnsi="宋体" w:cs="宋体"/>
                <w:szCs w:val="21"/>
                <w:lang w:bidi="zh-TW"/>
              </w:rPr>
            </w:pPr>
            <w:r>
              <w:rPr>
                <w:rFonts w:hint="eastAsia" w:ascii="宋体" w:hAnsi="宋体" w:cs="宋体"/>
                <w:szCs w:val="21"/>
                <w:lang w:bidi="zh-TW"/>
              </w:rPr>
              <w:t>3、ISO27001信息安全管理体系认证证书，得1分；</w:t>
            </w:r>
          </w:p>
          <w:p w14:paraId="1F8BD424">
            <w:pPr>
              <w:spacing w:line="400" w:lineRule="exact"/>
              <w:ind w:firstLine="420" w:firstLineChars="200"/>
              <w:rPr>
                <w:rFonts w:ascii="宋体" w:hAnsi="宋体" w:cs="宋体"/>
                <w:szCs w:val="21"/>
                <w:lang w:bidi="zh-TW"/>
              </w:rPr>
            </w:pPr>
            <w:r>
              <w:rPr>
                <w:rFonts w:hint="eastAsia" w:ascii="宋体" w:hAnsi="宋体" w:cs="宋体"/>
                <w:szCs w:val="21"/>
                <w:lang w:bidi="zh-TW"/>
              </w:rPr>
              <w:t>4、隐私信息管理体系认证证书的得1分。</w:t>
            </w:r>
          </w:p>
          <w:p w14:paraId="7436891D">
            <w:pPr>
              <w:spacing w:line="400" w:lineRule="exact"/>
              <w:ind w:firstLine="420" w:firstLineChars="200"/>
              <w:rPr>
                <w:rFonts w:ascii="宋体" w:hAnsi="宋体" w:cs="宋体"/>
                <w:szCs w:val="21"/>
                <w:lang w:bidi="zh-TW"/>
              </w:rPr>
            </w:pPr>
            <w:r>
              <w:rPr>
                <w:rFonts w:hint="eastAsia" w:ascii="宋体" w:hAnsi="宋体" w:cs="宋体"/>
                <w:szCs w:val="21"/>
                <w:lang w:bidi="zh-TW"/>
              </w:rPr>
              <w:t>5、ISO45001 职业健康管理体系认证得1分。</w:t>
            </w:r>
          </w:p>
          <w:p w14:paraId="01BD697D">
            <w:pPr>
              <w:spacing w:line="400" w:lineRule="exact"/>
              <w:ind w:firstLine="210" w:firstLineChars="100"/>
              <w:rPr>
                <w:rFonts w:ascii="宋体" w:hAnsi="宋体" w:cs="宋体"/>
                <w:szCs w:val="21"/>
                <w:lang w:bidi="zh-TW"/>
              </w:rPr>
            </w:pPr>
            <w:r>
              <w:rPr>
                <w:rFonts w:hint="eastAsia" w:ascii="宋体" w:hAnsi="宋体" w:cs="宋体"/>
                <w:szCs w:val="21"/>
                <w:lang w:bidi="zh-TW"/>
              </w:rPr>
              <w:t>注：需提供以上有效期内的证书复印件并加盖供应商公章，未提供不得分。</w:t>
            </w:r>
          </w:p>
        </w:tc>
      </w:tr>
      <w:tr w14:paraId="54019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952" w:type="dxa"/>
            <w:gridSpan w:val="3"/>
            <w:tcBorders>
              <w:top w:val="single" w:color="auto" w:sz="4" w:space="0"/>
              <w:left w:val="single" w:color="auto" w:sz="4" w:space="0"/>
              <w:bottom w:val="single" w:color="auto" w:sz="4" w:space="0"/>
              <w:right w:val="single" w:color="auto" w:sz="4" w:space="0"/>
            </w:tcBorders>
          </w:tcPr>
          <w:p w14:paraId="38B54B86">
            <w:pPr>
              <w:widowControl/>
              <w:spacing w:line="400" w:lineRule="exact"/>
              <w:ind w:firstLine="422" w:firstLineChars="200"/>
              <w:jc w:val="left"/>
              <w:rPr>
                <w:rFonts w:ascii="宋体" w:hAnsi="宋体" w:cs="宋体"/>
                <w:kern w:val="0"/>
                <w:szCs w:val="21"/>
              </w:rPr>
            </w:pPr>
            <w:r>
              <w:rPr>
                <w:rFonts w:hint="eastAsia" w:ascii="宋体" w:hAnsi="宋体" w:cs="宋体"/>
                <w:b/>
                <w:szCs w:val="21"/>
              </w:rPr>
              <w:t>总得分＝1＋2＋3</w:t>
            </w:r>
          </w:p>
        </w:tc>
      </w:tr>
    </w:tbl>
    <w:p w14:paraId="4DE25594">
      <w:pPr>
        <w:pStyle w:val="28"/>
        <w:spacing w:line="360" w:lineRule="auto"/>
        <w:rPr>
          <w:rFonts w:hAnsi="宋体" w:cs="仿宋"/>
        </w:rPr>
      </w:pPr>
      <w:r>
        <w:rPr>
          <w:rFonts w:hint="eastAsia" w:hAnsi="宋体" w:cs="仿宋"/>
          <w:sz w:val="21"/>
        </w:rPr>
        <w:t>（三）成交候选人推荐原则</w:t>
      </w:r>
    </w:p>
    <w:p w14:paraId="4EDCBEA4">
      <w:pPr>
        <w:spacing w:line="360" w:lineRule="auto"/>
        <w:ind w:firstLine="420" w:firstLineChars="200"/>
        <w:rPr>
          <w:rFonts w:ascii="宋体" w:hAnsi="宋体" w:cs="仿宋"/>
          <w:szCs w:val="21"/>
        </w:rPr>
      </w:pPr>
      <w:r>
        <w:rPr>
          <w:rFonts w:hint="eastAsia" w:ascii="宋体" w:hAnsi="宋体" w:cs="仿宋"/>
          <w:szCs w:val="21"/>
        </w:rPr>
        <w:t>磋商小组将根据得分由高到低排列次序（得分相同时，以磋商报价由低到高顺序排列；得分相同且磋商报价相同的，按实施方案优劣顺序排列）并推荐成交候选人3名。得分最高的成交候选人（得分相同时，以磋商报价由低到高顺序排列；得分相同且磋商报价相同的，按实施方案优劣采购顺序排列）为成交人。采购人应当确定推荐排名第一的成交候选人为成交人。</w:t>
      </w:r>
    </w:p>
    <w:p w14:paraId="5DEDABE7">
      <w:pPr>
        <w:spacing w:line="360" w:lineRule="auto"/>
        <w:ind w:firstLine="420" w:firstLineChars="200"/>
        <w:rPr>
          <w:rFonts w:hAnsi="Courier New"/>
          <w:szCs w:val="21"/>
        </w:rPr>
      </w:pPr>
      <w:r>
        <w:rPr>
          <w:rFonts w:hint="eastAsia" w:ascii="宋体" w:hAnsi="宋体" w:cs="仿宋"/>
          <w:szCs w:val="21"/>
        </w:rPr>
        <w:t>排名第一的成交候选人放弃、拒绝签订采购合同，或者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采购人也可以重新组织采购</w:t>
      </w:r>
      <w:r>
        <w:rPr>
          <w:rFonts w:hint="eastAsia" w:hAnsi="Courier New"/>
          <w:szCs w:val="21"/>
        </w:rPr>
        <w:t>。</w:t>
      </w:r>
    </w:p>
    <w:p w14:paraId="0437CBCD">
      <w:pPr>
        <w:pStyle w:val="34"/>
        <w:tabs>
          <w:tab w:val="clear" w:pos="4153"/>
          <w:tab w:val="clear" w:pos="8306"/>
        </w:tabs>
        <w:rPr>
          <w:rFonts w:ascii="宋体" w:hAnsi="宋体" w:cs="宋体"/>
          <w:sz w:val="21"/>
          <w:szCs w:val="21"/>
        </w:rPr>
      </w:pPr>
    </w:p>
    <w:p w14:paraId="7A94FEF7">
      <w:pPr>
        <w:pStyle w:val="34"/>
        <w:tabs>
          <w:tab w:val="clear" w:pos="4153"/>
          <w:tab w:val="clear" w:pos="8306"/>
        </w:tabs>
        <w:rPr>
          <w:rFonts w:ascii="宋体" w:hAnsi="宋体" w:cs="宋体"/>
          <w:sz w:val="21"/>
          <w:szCs w:val="21"/>
        </w:rPr>
      </w:pPr>
    </w:p>
    <w:p w14:paraId="67ED187A">
      <w:pPr>
        <w:pStyle w:val="34"/>
        <w:tabs>
          <w:tab w:val="clear" w:pos="4153"/>
          <w:tab w:val="clear" w:pos="8306"/>
        </w:tabs>
        <w:rPr>
          <w:rFonts w:ascii="宋体" w:hAnsi="宋体" w:cs="宋体"/>
          <w:sz w:val="21"/>
          <w:szCs w:val="21"/>
        </w:rPr>
      </w:pPr>
    </w:p>
    <w:p w14:paraId="571DF75B">
      <w:pPr>
        <w:pStyle w:val="34"/>
        <w:tabs>
          <w:tab w:val="clear" w:pos="4153"/>
          <w:tab w:val="clear" w:pos="8306"/>
        </w:tabs>
        <w:rPr>
          <w:rFonts w:ascii="宋体" w:hAnsi="宋体" w:cs="宋体"/>
          <w:sz w:val="21"/>
          <w:szCs w:val="21"/>
        </w:rPr>
      </w:pPr>
    </w:p>
    <w:p w14:paraId="74067D06">
      <w:pPr>
        <w:pStyle w:val="34"/>
        <w:tabs>
          <w:tab w:val="clear" w:pos="4153"/>
          <w:tab w:val="clear" w:pos="8306"/>
        </w:tabs>
        <w:rPr>
          <w:rFonts w:ascii="宋体" w:hAnsi="宋体" w:cs="宋体"/>
          <w:sz w:val="21"/>
          <w:szCs w:val="21"/>
        </w:rPr>
      </w:pPr>
    </w:p>
    <w:p w14:paraId="5ED1F5D4">
      <w:pPr>
        <w:pStyle w:val="34"/>
        <w:tabs>
          <w:tab w:val="clear" w:pos="4153"/>
          <w:tab w:val="clear" w:pos="8306"/>
        </w:tabs>
        <w:rPr>
          <w:rFonts w:ascii="宋体" w:hAnsi="宋体" w:cs="宋体"/>
          <w:sz w:val="21"/>
          <w:szCs w:val="21"/>
        </w:rPr>
      </w:pPr>
    </w:p>
    <w:p w14:paraId="1812F984">
      <w:pPr>
        <w:pStyle w:val="34"/>
        <w:tabs>
          <w:tab w:val="clear" w:pos="4153"/>
          <w:tab w:val="clear" w:pos="8306"/>
        </w:tabs>
        <w:rPr>
          <w:rFonts w:ascii="宋体" w:hAnsi="宋体" w:cs="宋体"/>
          <w:sz w:val="21"/>
          <w:szCs w:val="21"/>
        </w:rPr>
      </w:pPr>
    </w:p>
    <w:p w14:paraId="2C6B78F1">
      <w:pPr>
        <w:pStyle w:val="34"/>
        <w:tabs>
          <w:tab w:val="clear" w:pos="4153"/>
          <w:tab w:val="clear" w:pos="8306"/>
        </w:tabs>
        <w:rPr>
          <w:rFonts w:ascii="宋体" w:hAnsi="宋体" w:cs="宋体"/>
          <w:sz w:val="21"/>
          <w:szCs w:val="21"/>
        </w:rPr>
      </w:pPr>
    </w:p>
    <w:p w14:paraId="2BDB8620">
      <w:pPr>
        <w:pStyle w:val="34"/>
        <w:tabs>
          <w:tab w:val="clear" w:pos="4153"/>
          <w:tab w:val="clear" w:pos="8306"/>
        </w:tabs>
        <w:rPr>
          <w:rFonts w:ascii="宋体" w:hAnsi="宋体" w:cs="宋体"/>
          <w:sz w:val="21"/>
          <w:szCs w:val="21"/>
        </w:rPr>
      </w:pPr>
    </w:p>
    <w:p w14:paraId="7A533577">
      <w:pPr>
        <w:pStyle w:val="34"/>
        <w:tabs>
          <w:tab w:val="clear" w:pos="4153"/>
          <w:tab w:val="clear" w:pos="8306"/>
        </w:tabs>
        <w:rPr>
          <w:rFonts w:ascii="宋体" w:hAnsi="宋体" w:cs="宋体"/>
          <w:sz w:val="21"/>
          <w:szCs w:val="21"/>
        </w:rPr>
      </w:pPr>
    </w:p>
    <w:p w14:paraId="7D085CB5">
      <w:pPr>
        <w:pStyle w:val="2"/>
        <w:numPr>
          <w:ilvl w:val="0"/>
          <w:numId w:val="8"/>
        </w:numPr>
        <w:jc w:val="center"/>
        <w:rPr>
          <w:rFonts w:ascii="宋体" w:hAnsi="宋体" w:cs="宋体"/>
          <w:sz w:val="28"/>
          <w:szCs w:val="28"/>
        </w:rPr>
      </w:pPr>
      <w:bookmarkStart w:id="37" w:name="_Toc3197"/>
      <w:bookmarkStart w:id="38" w:name="_Toc9412"/>
      <w:bookmarkStart w:id="39" w:name="_Toc1451"/>
      <w:r>
        <w:rPr>
          <w:rFonts w:hint="eastAsia" w:ascii="宋体" w:hAnsi="宋体" w:cs="宋体"/>
          <w:sz w:val="28"/>
          <w:szCs w:val="28"/>
        </w:rPr>
        <w:t>响应文件格式</w:t>
      </w:r>
      <w:bookmarkEnd w:id="37"/>
      <w:bookmarkEnd w:id="38"/>
      <w:bookmarkEnd w:id="39"/>
    </w:p>
    <w:p w14:paraId="548F9B23">
      <w:pPr>
        <w:jc w:val="center"/>
        <w:rPr>
          <w:rFonts w:ascii="宋体" w:hAnsi="宋体" w:cs="宋体"/>
          <w:sz w:val="36"/>
          <w:szCs w:val="36"/>
        </w:rPr>
      </w:pPr>
      <w:r>
        <w:rPr>
          <w:rFonts w:hint="eastAsia" w:ascii="宋体" w:hAnsi="宋体" w:cs="宋体"/>
          <w:sz w:val="36"/>
          <w:szCs w:val="36"/>
        </w:rPr>
        <w:t>响 应 文 件 (外包封装格式）</w:t>
      </w:r>
    </w:p>
    <w:p w14:paraId="717FB4C3">
      <w:pPr>
        <w:spacing w:line="360" w:lineRule="auto"/>
        <w:jc w:val="center"/>
        <w:rPr>
          <w:rFonts w:ascii="宋体" w:hAnsi="宋体" w:cs="宋体"/>
          <w:szCs w:val="21"/>
        </w:rPr>
      </w:pPr>
    </w:p>
    <w:p w14:paraId="51312973">
      <w:pPr>
        <w:spacing w:line="360" w:lineRule="auto"/>
        <w:jc w:val="center"/>
        <w:rPr>
          <w:rFonts w:ascii="宋体" w:hAnsi="宋体" w:cs="宋体"/>
          <w:szCs w:val="21"/>
        </w:rPr>
      </w:pPr>
    </w:p>
    <w:p w14:paraId="05B96F04">
      <w:pPr>
        <w:spacing w:line="360" w:lineRule="auto"/>
        <w:jc w:val="center"/>
        <w:rPr>
          <w:rFonts w:ascii="宋体" w:hAnsi="宋体" w:cs="宋体"/>
          <w:szCs w:val="21"/>
        </w:rPr>
      </w:pPr>
    </w:p>
    <w:p w14:paraId="4AEFB1F9">
      <w:pPr>
        <w:spacing w:line="360" w:lineRule="auto"/>
        <w:jc w:val="center"/>
        <w:rPr>
          <w:rFonts w:ascii="宋体" w:hAnsi="宋体" w:cs="宋体"/>
          <w:szCs w:val="21"/>
        </w:rPr>
      </w:pPr>
    </w:p>
    <w:p w14:paraId="0545F178">
      <w:pPr>
        <w:spacing w:line="360" w:lineRule="auto"/>
        <w:jc w:val="left"/>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6EC22DA1">
      <w:pPr>
        <w:tabs>
          <w:tab w:val="left" w:pos="3240"/>
        </w:tabs>
        <w:spacing w:line="360" w:lineRule="auto"/>
        <w:jc w:val="left"/>
        <w:rPr>
          <w:rFonts w:ascii="宋体" w:hAnsi="宋体" w:cs="宋体"/>
          <w:szCs w:val="21"/>
        </w:rPr>
      </w:pPr>
    </w:p>
    <w:p w14:paraId="4ED5C429">
      <w:pPr>
        <w:tabs>
          <w:tab w:val="left" w:pos="3240"/>
        </w:tabs>
        <w:spacing w:line="360" w:lineRule="auto"/>
        <w:jc w:val="left"/>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107132D2">
      <w:pPr>
        <w:tabs>
          <w:tab w:val="left" w:pos="2625"/>
        </w:tabs>
        <w:spacing w:line="360" w:lineRule="auto"/>
        <w:jc w:val="left"/>
        <w:rPr>
          <w:rFonts w:ascii="宋体" w:hAnsi="宋体" w:cs="宋体"/>
          <w:szCs w:val="21"/>
        </w:rPr>
      </w:pPr>
    </w:p>
    <w:p w14:paraId="393CD6DE">
      <w:pPr>
        <w:tabs>
          <w:tab w:val="left" w:pos="2625"/>
        </w:tabs>
        <w:spacing w:line="360" w:lineRule="auto"/>
        <w:jc w:val="left"/>
        <w:rPr>
          <w:rFonts w:ascii="宋体" w:hAnsi="宋体" w:cs="宋体"/>
          <w:szCs w:val="21"/>
        </w:rPr>
      </w:pPr>
      <w:r>
        <w:rPr>
          <w:rFonts w:hint="eastAsia" w:ascii="宋体" w:hAnsi="宋体" w:cs="宋体"/>
          <w:szCs w:val="21"/>
        </w:rPr>
        <w:t>所投分标：</w:t>
      </w:r>
    </w:p>
    <w:p w14:paraId="4B747B9E">
      <w:pPr>
        <w:spacing w:line="360" w:lineRule="auto"/>
        <w:jc w:val="left"/>
        <w:rPr>
          <w:rFonts w:ascii="宋体" w:hAnsi="宋体" w:cs="宋体"/>
          <w:szCs w:val="21"/>
        </w:rPr>
      </w:pPr>
    </w:p>
    <w:p w14:paraId="3CBE50B1">
      <w:pPr>
        <w:spacing w:line="360" w:lineRule="auto"/>
        <w:jc w:val="left"/>
        <w:rPr>
          <w:rFonts w:ascii="宋体" w:hAnsi="宋体" w:cs="宋体"/>
          <w:szCs w:val="21"/>
        </w:rPr>
      </w:pPr>
      <w:r>
        <w:rPr>
          <w:rFonts w:hint="eastAsia" w:ascii="宋体" w:hAnsi="宋体" w:cs="宋体"/>
          <w:szCs w:val="21"/>
        </w:rPr>
        <w:t>供应商名称：</w:t>
      </w:r>
    </w:p>
    <w:p w14:paraId="1045DA7F">
      <w:pPr>
        <w:spacing w:line="360" w:lineRule="auto"/>
        <w:jc w:val="left"/>
        <w:rPr>
          <w:rFonts w:ascii="宋体" w:hAnsi="宋体" w:cs="宋体"/>
          <w:szCs w:val="21"/>
        </w:rPr>
      </w:pPr>
    </w:p>
    <w:p w14:paraId="6519E070">
      <w:pPr>
        <w:spacing w:line="360" w:lineRule="auto"/>
        <w:jc w:val="left"/>
        <w:rPr>
          <w:rFonts w:ascii="宋体" w:hAnsi="宋体" w:cs="宋体"/>
          <w:szCs w:val="21"/>
        </w:rPr>
      </w:pPr>
      <w:r>
        <w:rPr>
          <w:rFonts w:hint="eastAsia" w:ascii="宋体" w:hAnsi="宋体" w:cs="宋体"/>
          <w:szCs w:val="21"/>
        </w:rPr>
        <w:t>地址：</w:t>
      </w:r>
    </w:p>
    <w:p w14:paraId="3AFC569E">
      <w:pPr>
        <w:spacing w:line="360" w:lineRule="auto"/>
        <w:jc w:val="left"/>
        <w:rPr>
          <w:rFonts w:ascii="宋体" w:hAnsi="宋体" w:cs="宋体"/>
          <w:szCs w:val="21"/>
        </w:rPr>
      </w:pPr>
    </w:p>
    <w:p w14:paraId="168795AE">
      <w:pPr>
        <w:spacing w:line="360" w:lineRule="auto"/>
        <w:jc w:val="left"/>
        <w:rPr>
          <w:rFonts w:ascii="宋体" w:hAnsi="宋体" w:cs="宋体"/>
          <w:szCs w:val="21"/>
        </w:rPr>
      </w:pPr>
      <w:r>
        <w:rPr>
          <w:rFonts w:hint="eastAsia" w:ascii="宋体" w:hAnsi="宋体" w:cs="宋体"/>
          <w:szCs w:val="21"/>
        </w:rPr>
        <w:t>邮编 ：</w:t>
      </w:r>
    </w:p>
    <w:p w14:paraId="67334415">
      <w:pPr>
        <w:spacing w:line="360" w:lineRule="auto"/>
        <w:jc w:val="left"/>
        <w:rPr>
          <w:rFonts w:ascii="宋体" w:hAnsi="宋体" w:cs="宋体"/>
          <w:szCs w:val="21"/>
        </w:rPr>
      </w:pPr>
    </w:p>
    <w:p w14:paraId="4926FDAF">
      <w:pPr>
        <w:spacing w:line="360" w:lineRule="auto"/>
        <w:jc w:val="left"/>
        <w:rPr>
          <w:rFonts w:ascii="宋体" w:hAnsi="宋体" w:cs="宋体"/>
          <w:szCs w:val="21"/>
        </w:rPr>
      </w:pPr>
      <w:r>
        <w:rPr>
          <w:rFonts w:hint="eastAsia" w:ascii="宋体" w:hAnsi="宋体" w:cs="宋体"/>
          <w:szCs w:val="21"/>
        </w:rPr>
        <w:t xml:space="preserve">联系电话 ：    </w:t>
      </w:r>
    </w:p>
    <w:p w14:paraId="0836F578">
      <w:pPr>
        <w:pStyle w:val="10"/>
        <w:spacing w:before="50" w:after="50" w:line="360" w:lineRule="exact"/>
        <w:ind w:firstLine="840" w:firstLineChars="300"/>
        <w:rPr>
          <w:rFonts w:ascii="宋体" w:hAnsi="宋体" w:cs="宋体"/>
          <w:bCs/>
          <w:szCs w:val="21"/>
        </w:rPr>
      </w:pPr>
      <w:r>
        <w:rPr>
          <w:rFonts w:hint="eastAsia" w:ascii="宋体" w:hAnsi="宋体" w:cs="宋体"/>
          <w:bCs/>
          <w:szCs w:val="21"/>
        </w:rPr>
        <w:t>（截标时才能启封）</w:t>
      </w:r>
    </w:p>
    <w:p w14:paraId="1E2B0A04">
      <w:pPr>
        <w:spacing w:line="360" w:lineRule="auto"/>
        <w:jc w:val="left"/>
        <w:rPr>
          <w:rFonts w:ascii="宋体" w:hAnsi="宋体" w:cs="宋体"/>
          <w:szCs w:val="21"/>
        </w:rPr>
      </w:pPr>
      <w:r>
        <w:rPr>
          <w:rFonts w:hint="eastAsia" w:ascii="宋体" w:hAnsi="宋体" w:cs="宋体"/>
          <w:szCs w:val="21"/>
        </w:rPr>
        <w:t xml:space="preserve">                                     </w:t>
      </w:r>
    </w:p>
    <w:p w14:paraId="1B19E41E">
      <w:pPr>
        <w:pageBreakBefore/>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(封面格式）</w:t>
      </w:r>
    </w:p>
    <w:p w14:paraId="317CFF6F">
      <w:pPr>
        <w:spacing w:line="360" w:lineRule="auto"/>
        <w:jc w:val="center"/>
        <w:rPr>
          <w:rFonts w:ascii="宋体" w:hAnsi="宋体" w:cs="宋体"/>
          <w:szCs w:val="21"/>
        </w:rPr>
      </w:pPr>
    </w:p>
    <w:p w14:paraId="315206D5">
      <w:pPr>
        <w:spacing w:line="360" w:lineRule="auto"/>
        <w:jc w:val="center"/>
        <w:rPr>
          <w:rFonts w:ascii="宋体" w:hAnsi="宋体" w:cs="宋体"/>
          <w:sz w:val="28"/>
          <w:szCs w:val="28"/>
        </w:rPr>
      </w:pPr>
      <w:r>
        <w:rPr>
          <w:rFonts w:hint="eastAsia" w:ascii="宋体" w:hAnsi="宋体" w:cs="宋体"/>
          <w:sz w:val="28"/>
          <w:szCs w:val="28"/>
        </w:rPr>
        <w:t>（正本 或 副本）</w:t>
      </w:r>
    </w:p>
    <w:p w14:paraId="761AC950">
      <w:pPr>
        <w:spacing w:line="360" w:lineRule="auto"/>
        <w:jc w:val="center"/>
        <w:rPr>
          <w:rFonts w:ascii="宋体" w:hAnsi="宋体" w:cs="宋体"/>
          <w:szCs w:val="21"/>
        </w:rPr>
      </w:pPr>
    </w:p>
    <w:p w14:paraId="28789766">
      <w:pPr>
        <w:spacing w:line="360" w:lineRule="auto"/>
        <w:jc w:val="left"/>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62FDDCA5">
      <w:pPr>
        <w:tabs>
          <w:tab w:val="left" w:pos="3240"/>
        </w:tabs>
        <w:spacing w:line="360" w:lineRule="auto"/>
        <w:jc w:val="left"/>
        <w:rPr>
          <w:rFonts w:ascii="宋体" w:hAnsi="宋体" w:cs="宋体"/>
          <w:szCs w:val="21"/>
        </w:rPr>
      </w:pPr>
    </w:p>
    <w:p w14:paraId="285EB33C">
      <w:pPr>
        <w:tabs>
          <w:tab w:val="left" w:pos="3240"/>
        </w:tabs>
        <w:spacing w:line="360" w:lineRule="auto"/>
        <w:jc w:val="left"/>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218FEBA1">
      <w:pPr>
        <w:tabs>
          <w:tab w:val="left" w:pos="2625"/>
        </w:tabs>
        <w:spacing w:line="360" w:lineRule="auto"/>
        <w:jc w:val="left"/>
        <w:rPr>
          <w:rFonts w:ascii="宋体" w:hAnsi="宋体" w:cs="宋体"/>
          <w:szCs w:val="21"/>
        </w:rPr>
      </w:pPr>
    </w:p>
    <w:p w14:paraId="432F298E">
      <w:pPr>
        <w:tabs>
          <w:tab w:val="left" w:pos="2625"/>
        </w:tabs>
        <w:spacing w:line="360" w:lineRule="auto"/>
        <w:jc w:val="left"/>
        <w:rPr>
          <w:rFonts w:ascii="宋体" w:hAnsi="宋体" w:cs="宋体"/>
          <w:szCs w:val="21"/>
        </w:rPr>
      </w:pPr>
      <w:r>
        <w:rPr>
          <w:rFonts w:hint="eastAsia" w:ascii="宋体" w:hAnsi="宋体" w:cs="宋体"/>
          <w:szCs w:val="21"/>
        </w:rPr>
        <w:t>所投分标（如有）：</w:t>
      </w:r>
    </w:p>
    <w:p w14:paraId="6E4D0360">
      <w:pPr>
        <w:tabs>
          <w:tab w:val="left" w:pos="2625"/>
        </w:tabs>
        <w:spacing w:line="360" w:lineRule="auto"/>
        <w:jc w:val="center"/>
        <w:rPr>
          <w:rFonts w:ascii="宋体" w:hAnsi="宋体" w:cs="宋体"/>
          <w:szCs w:val="21"/>
        </w:rPr>
      </w:pPr>
    </w:p>
    <w:p w14:paraId="2F274986">
      <w:pPr>
        <w:spacing w:line="360" w:lineRule="auto"/>
        <w:jc w:val="left"/>
        <w:rPr>
          <w:rFonts w:ascii="宋体" w:hAnsi="宋体" w:cs="宋体"/>
          <w:szCs w:val="21"/>
        </w:rPr>
      </w:pPr>
      <w:r>
        <w:rPr>
          <w:rFonts w:hint="eastAsia" w:ascii="宋体" w:hAnsi="宋体" w:cs="宋体"/>
          <w:szCs w:val="21"/>
        </w:rPr>
        <w:t>供应商名称：</w:t>
      </w:r>
    </w:p>
    <w:p w14:paraId="4DE8E00C">
      <w:pPr>
        <w:spacing w:line="360" w:lineRule="auto"/>
        <w:jc w:val="left"/>
        <w:rPr>
          <w:rFonts w:ascii="宋体" w:hAnsi="宋体" w:cs="宋体"/>
          <w:szCs w:val="21"/>
        </w:rPr>
      </w:pPr>
    </w:p>
    <w:p w14:paraId="3D011BF6">
      <w:pPr>
        <w:spacing w:line="360" w:lineRule="auto"/>
        <w:jc w:val="left"/>
        <w:rPr>
          <w:rFonts w:ascii="宋体" w:hAnsi="宋体" w:cs="宋体"/>
          <w:szCs w:val="21"/>
        </w:rPr>
      </w:pPr>
      <w:r>
        <w:rPr>
          <w:rFonts w:hint="eastAsia" w:ascii="宋体" w:hAnsi="宋体" w:cs="宋体"/>
          <w:szCs w:val="21"/>
        </w:rPr>
        <w:t>地址：</w:t>
      </w:r>
    </w:p>
    <w:p w14:paraId="03A2D46D">
      <w:pPr>
        <w:spacing w:line="360" w:lineRule="auto"/>
        <w:jc w:val="left"/>
        <w:rPr>
          <w:rFonts w:ascii="宋体" w:hAnsi="宋体" w:cs="宋体"/>
          <w:szCs w:val="21"/>
        </w:rPr>
      </w:pPr>
    </w:p>
    <w:p w14:paraId="408666D0">
      <w:pPr>
        <w:spacing w:line="360" w:lineRule="auto"/>
        <w:jc w:val="left"/>
        <w:rPr>
          <w:rFonts w:ascii="宋体" w:hAnsi="宋体" w:cs="宋体"/>
          <w:szCs w:val="21"/>
        </w:rPr>
      </w:pPr>
      <w:r>
        <w:rPr>
          <w:rFonts w:hint="eastAsia" w:ascii="宋体" w:hAnsi="宋体" w:cs="宋体"/>
          <w:szCs w:val="21"/>
        </w:rPr>
        <w:t>邮编 ：</w:t>
      </w:r>
    </w:p>
    <w:p w14:paraId="1B9EDE7D">
      <w:pPr>
        <w:spacing w:line="360" w:lineRule="auto"/>
        <w:jc w:val="left"/>
        <w:rPr>
          <w:rFonts w:ascii="宋体" w:hAnsi="宋体" w:cs="宋体"/>
          <w:szCs w:val="21"/>
        </w:rPr>
      </w:pPr>
    </w:p>
    <w:p w14:paraId="09DFFC35">
      <w:pPr>
        <w:spacing w:line="360" w:lineRule="auto"/>
        <w:jc w:val="left"/>
        <w:rPr>
          <w:rFonts w:ascii="宋体" w:hAnsi="宋体" w:cs="宋体"/>
          <w:szCs w:val="21"/>
        </w:rPr>
      </w:pPr>
      <w:r>
        <w:rPr>
          <w:rFonts w:hint="eastAsia" w:ascii="宋体" w:hAnsi="宋体" w:cs="宋体"/>
          <w:szCs w:val="21"/>
        </w:rPr>
        <w:t xml:space="preserve">联系电话 ：                                     </w:t>
      </w:r>
    </w:p>
    <w:p w14:paraId="0B0E378A">
      <w:pPr>
        <w:spacing w:line="360" w:lineRule="auto"/>
        <w:ind w:firstLine="6111" w:firstLineChars="2910"/>
        <w:rPr>
          <w:rFonts w:ascii="宋体" w:hAnsi="宋体" w:cs="宋体"/>
          <w:szCs w:val="21"/>
        </w:rPr>
      </w:pPr>
    </w:p>
    <w:p w14:paraId="542F7EDA">
      <w:pPr>
        <w:spacing w:line="360" w:lineRule="auto"/>
        <w:ind w:firstLine="6111" w:firstLineChars="2910"/>
        <w:rPr>
          <w:rFonts w:ascii="宋体" w:hAnsi="宋体" w:cs="宋体"/>
          <w:szCs w:val="21"/>
        </w:rPr>
      </w:pPr>
    </w:p>
    <w:p w14:paraId="2A26D84C">
      <w:pPr>
        <w:spacing w:line="360" w:lineRule="auto"/>
        <w:jc w:val="center"/>
        <w:rPr>
          <w:rFonts w:ascii="宋体" w:hAnsi="宋体" w:cs="宋体"/>
          <w:szCs w:val="21"/>
        </w:rPr>
      </w:pPr>
      <w:r>
        <w:rPr>
          <w:rFonts w:hint="eastAsia" w:ascii="宋体" w:hAnsi="宋体" w:cs="宋体"/>
          <w:szCs w:val="21"/>
        </w:rPr>
        <w:t>年    月    日</w:t>
      </w:r>
    </w:p>
    <w:p w14:paraId="1A9B4B33">
      <w:pPr>
        <w:spacing w:line="300" w:lineRule="auto"/>
        <w:rPr>
          <w:rFonts w:ascii="宋体" w:hAnsi="宋体" w:cs="宋体"/>
          <w:szCs w:val="21"/>
        </w:rPr>
      </w:pPr>
    </w:p>
    <w:p w14:paraId="35BD8EA2">
      <w:pPr>
        <w:spacing w:line="300" w:lineRule="auto"/>
        <w:rPr>
          <w:rFonts w:ascii="宋体" w:hAnsi="宋体" w:cs="宋体"/>
          <w:szCs w:val="21"/>
        </w:rPr>
      </w:pPr>
      <w:r>
        <w:rPr>
          <w:rFonts w:hint="eastAsia" w:ascii="宋体" w:hAnsi="宋体" w:cs="宋体"/>
          <w:szCs w:val="21"/>
        </w:rPr>
        <w:br w:type="page"/>
      </w:r>
    </w:p>
    <w:p w14:paraId="3192257F">
      <w:pPr>
        <w:spacing w:line="320" w:lineRule="exact"/>
        <w:jc w:val="center"/>
        <w:rPr>
          <w:rFonts w:ascii="宋体" w:hAnsi="宋体" w:cs="宋体"/>
          <w:b/>
          <w:sz w:val="32"/>
          <w:szCs w:val="32"/>
        </w:rPr>
      </w:pPr>
      <w:r>
        <w:rPr>
          <w:rFonts w:hint="eastAsia" w:ascii="宋体" w:hAnsi="宋体" w:cs="宋体"/>
          <w:b/>
          <w:sz w:val="32"/>
          <w:szCs w:val="32"/>
        </w:rPr>
        <w:t>磋  商  书</w:t>
      </w:r>
    </w:p>
    <w:p w14:paraId="2D37782D">
      <w:pPr>
        <w:spacing w:line="440" w:lineRule="exact"/>
        <w:jc w:val="center"/>
        <w:rPr>
          <w:rFonts w:ascii="宋体" w:hAnsi="宋体" w:cs="宋体"/>
          <w:b/>
          <w:szCs w:val="21"/>
        </w:rPr>
      </w:pPr>
    </w:p>
    <w:p w14:paraId="775E142C">
      <w:pPr>
        <w:pStyle w:val="28"/>
        <w:spacing w:line="440" w:lineRule="exact"/>
        <w:rPr>
          <w:rFonts w:hAnsi="宋体" w:cs="宋体"/>
          <w:sz w:val="21"/>
        </w:rPr>
      </w:pPr>
      <w:r>
        <w:rPr>
          <w:rFonts w:hint="eastAsia" w:hAnsi="宋体" w:cs="宋体"/>
          <w:sz w:val="21"/>
          <w:u w:val="single"/>
        </w:rPr>
        <w:t>广西正海招标有限公司</w:t>
      </w:r>
      <w:r>
        <w:rPr>
          <w:rFonts w:hint="eastAsia" w:hAnsi="宋体" w:cs="宋体"/>
          <w:sz w:val="21"/>
        </w:rPr>
        <w:t>：</w:t>
      </w:r>
    </w:p>
    <w:p w14:paraId="6C2985DB">
      <w:pPr>
        <w:pStyle w:val="28"/>
        <w:spacing w:line="440" w:lineRule="exact"/>
        <w:ind w:firstLine="480"/>
        <w:rPr>
          <w:rFonts w:hAnsi="宋体" w:cs="宋体"/>
          <w:sz w:val="21"/>
        </w:rPr>
      </w:pPr>
      <w:r>
        <w:rPr>
          <w:rFonts w:hint="eastAsia" w:hAnsi="宋体" w:cs="宋体"/>
          <w:sz w:val="21"/>
        </w:rPr>
        <w:t>依据贵方</w:t>
      </w:r>
      <w:r>
        <w:rPr>
          <w:rFonts w:hint="eastAsia" w:hAnsi="宋体" w:cs="宋体"/>
          <w:sz w:val="21"/>
          <w:u w:val="single"/>
        </w:rPr>
        <w:t>（项目名称/项目编号）</w:t>
      </w:r>
      <w:r>
        <w:rPr>
          <w:rFonts w:hint="eastAsia" w:hAnsi="宋体" w:cs="宋体"/>
          <w:sz w:val="21"/>
        </w:rPr>
        <w:t>项目采购的磋商邀请，我</w:t>
      </w:r>
      <w:r>
        <w:rPr>
          <w:rFonts w:hint="eastAsia" w:hAnsi="宋体" w:cs="宋体"/>
          <w:sz w:val="21"/>
          <w:u w:val="single"/>
        </w:rPr>
        <w:t>（姓名、职务、身份证号码）</w:t>
      </w:r>
      <w:r>
        <w:rPr>
          <w:rFonts w:hint="eastAsia" w:hAnsi="宋体" w:cs="宋体"/>
          <w:sz w:val="21"/>
        </w:rPr>
        <w:t>经正式授权并代表供应商</w:t>
      </w:r>
      <w:r>
        <w:rPr>
          <w:rFonts w:hint="eastAsia" w:hAnsi="宋体" w:cs="宋体"/>
          <w:sz w:val="21"/>
          <w:u w:val="single"/>
        </w:rPr>
        <w:t>（供应商名称、地址）</w:t>
      </w:r>
      <w:r>
        <w:rPr>
          <w:rFonts w:hint="eastAsia" w:hAnsi="宋体" w:cs="宋体"/>
          <w:sz w:val="21"/>
        </w:rPr>
        <w:t>提交下述响应文件正本一份，副本</w:t>
      </w:r>
      <w:r>
        <w:rPr>
          <w:rFonts w:hint="eastAsia" w:hAnsi="宋体" w:cs="宋体"/>
          <w:sz w:val="21"/>
          <w:u w:val="single"/>
        </w:rPr>
        <w:t xml:space="preserve"> 三 </w:t>
      </w:r>
      <w:r>
        <w:rPr>
          <w:rFonts w:hint="eastAsia" w:hAnsi="宋体" w:cs="宋体"/>
          <w:sz w:val="21"/>
        </w:rPr>
        <w:t>份，包含下列内容：</w:t>
      </w:r>
    </w:p>
    <w:p w14:paraId="30508A75">
      <w:pPr>
        <w:pStyle w:val="28"/>
        <w:spacing w:line="440" w:lineRule="exact"/>
        <w:ind w:firstLine="480"/>
        <w:rPr>
          <w:rFonts w:hAnsi="宋体" w:cs="宋体"/>
          <w:sz w:val="21"/>
        </w:rPr>
      </w:pPr>
      <w:r>
        <w:rPr>
          <w:rFonts w:hint="eastAsia" w:hAnsi="宋体" w:cs="宋体"/>
          <w:sz w:val="21"/>
        </w:rPr>
        <w:t>1. 报价表；</w:t>
      </w:r>
    </w:p>
    <w:p w14:paraId="6AE850E6">
      <w:pPr>
        <w:pStyle w:val="28"/>
        <w:spacing w:line="440" w:lineRule="exact"/>
        <w:ind w:firstLine="480"/>
        <w:rPr>
          <w:rFonts w:hAnsi="宋体" w:cs="宋体"/>
          <w:sz w:val="21"/>
        </w:rPr>
      </w:pPr>
      <w:r>
        <w:rPr>
          <w:rFonts w:hint="eastAsia" w:hAnsi="宋体" w:cs="宋体"/>
          <w:sz w:val="21"/>
        </w:rPr>
        <w:t>2. 技术参数及要求、偏离情况说明表；</w:t>
      </w:r>
    </w:p>
    <w:p w14:paraId="31E9B243">
      <w:pPr>
        <w:pStyle w:val="28"/>
        <w:spacing w:line="440" w:lineRule="exact"/>
        <w:ind w:firstLine="480"/>
        <w:rPr>
          <w:rFonts w:hAnsi="宋体" w:cs="宋体"/>
          <w:sz w:val="21"/>
        </w:rPr>
      </w:pPr>
      <w:r>
        <w:rPr>
          <w:rFonts w:hint="eastAsia" w:hAnsi="宋体" w:cs="宋体"/>
          <w:sz w:val="21"/>
        </w:rPr>
        <w:t>3. 按竞争性磋商文件磋商须知和技术技术参数及要求提供的有关文件；</w:t>
      </w:r>
    </w:p>
    <w:p w14:paraId="7D0AFE9A">
      <w:pPr>
        <w:pStyle w:val="28"/>
        <w:spacing w:line="440" w:lineRule="exact"/>
        <w:ind w:firstLine="480"/>
        <w:rPr>
          <w:rFonts w:hAnsi="宋体" w:cs="宋体"/>
          <w:sz w:val="21"/>
        </w:rPr>
      </w:pPr>
      <w:r>
        <w:rPr>
          <w:rFonts w:hint="eastAsia" w:hAnsi="宋体" w:cs="宋体"/>
          <w:sz w:val="21"/>
        </w:rPr>
        <w:t>4. 资格证明文件；</w:t>
      </w:r>
    </w:p>
    <w:p w14:paraId="62756FDD">
      <w:pPr>
        <w:pStyle w:val="28"/>
        <w:spacing w:line="440" w:lineRule="exact"/>
        <w:ind w:firstLine="420" w:firstLineChars="200"/>
        <w:rPr>
          <w:rFonts w:hAnsi="宋体" w:cs="宋体"/>
          <w:sz w:val="21"/>
        </w:rPr>
      </w:pPr>
      <w:r>
        <w:rPr>
          <w:rFonts w:hint="eastAsia" w:hAnsi="宋体" w:cs="宋体"/>
          <w:sz w:val="21"/>
        </w:rPr>
        <w:t>在此，授权代表承诺如下：</w:t>
      </w:r>
    </w:p>
    <w:p w14:paraId="5A8ACA62">
      <w:pPr>
        <w:pStyle w:val="28"/>
        <w:spacing w:line="440" w:lineRule="exact"/>
        <w:ind w:firstLine="480"/>
        <w:rPr>
          <w:rFonts w:hAnsi="宋体" w:cs="宋体"/>
          <w:sz w:val="21"/>
        </w:rPr>
      </w:pPr>
      <w:r>
        <w:rPr>
          <w:rFonts w:hint="eastAsia" w:hAnsi="宋体" w:cs="宋体"/>
          <w:sz w:val="21"/>
        </w:rPr>
        <w:t>1. 将按竞争性磋商文件的约定履行合同责任和义务；</w:t>
      </w:r>
    </w:p>
    <w:p w14:paraId="73AD9308">
      <w:pPr>
        <w:pStyle w:val="28"/>
        <w:spacing w:line="440" w:lineRule="exact"/>
        <w:ind w:left="840" w:hanging="360"/>
        <w:rPr>
          <w:rFonts w:hAnsi="宋体" w:cs="宋体"/>
          <w:sz w:val="21"/>
        </w:rPr>
      </w:pPr>
      <w:r>
        <w:rPr>
          <w:rFonts w:hint="eastAsia" w:hAnsi="宋体" w:cs="宋体"/>
          <w:sz w:val="21"/>
        </w:rPr>
        <w:t>2. 已详细审查全部竞争性磋商文件，包括</w:t>
      </w:r>
      <w:r>
        <w:rPr>
          <w:rFonts w:hint="eastAsia" w:hAnsi="宋体" w:cs="宋体"/>
          <w:sz w:val="21"/>
          <w:u w:val="single"/>
        </w:rPr>
        <w:t>（补遗文件）（如果有的话）</w:t>
      </w:r>
      <w:r>
        <w:rPr>
          <w:rFonts w:hint="eastAsia" w:hAnsi="宋体" w:cs="宋体"/>
          <w:sz w:val="21"/>
        </w:rPr>
        <w:t>；我们完全理解并同意放弃对这方面有不明及误解的权利；</w:t>
      </w:r>
    </w:p>
    <w:p w14:paraId="4DD050D9">
      <w:pPr>
        <w:pStyle w:val="28"/>
        <w:spacing w:line="440" w:lineRule="exact"/>
        <w:ind w:left="840" w:hanging="360"/>
        <w:rPr>
          <w:rFonts w:hAnsi="宋体" w:cs="宋体"/>
          <w:sz w:val="21"/>
        </w:rPr>
      </w:pPr>
      <w:r>
        <w:rPr>
          <w:rFonts w:hint="eastAsia" w:hAnsi="宋体" w:cs="宋体"/>
          <w:sz w:val="21"/>
        </w:rPr>
        <w:t>3. 同意提供按照贵方可能要求的与其磋商有关的一切数据或资料；</w:t>
      </w:r>
    </w:p>
    <w:p w14:paraId="1898B0D9">
      <w:pPr>
        <w:pStyle w:val="28"/>
        <w:spacing w:line="440" w:lineRule="exact"/>
        <w:ind w:left="840" w:hanging="360"/>
        <w:rPr>
          <w:rFonts w:hAnsi="宋体" w:cs="宋体"/>
          <w:sz w:val="21"/>
        </w:rPr>
      </w:pPr>
      <w:r>
        <w:rPr>
          <w:rFonts w:hint="eastAsia" w:hAnsi="宋体" w:cs="宋体"/>
          <w:sz w:val="21"/>
        </w:rPr>
        <w:t>4. 与本磋商有关的一切正式往来信函请寄：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14:paraId="6719E4DF">
      <w:pPr>
        <w:pStyle w:val="28"/>
        <w:spacing w:line="440" w:lineRule="exact"/>
        <w:ind w:firstLine="840"/>
        <w:rPr>
          <w:rFonts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电子邮箱：</w:t>
      </w:r>
      <w:r>
        <w:rPr>
          <w:rFonts w:hint="eastAsia" w:hAnsi="宋体" w:cs="宋体"/>
          <w:sz w:val="21"/>
          <w:u w:val="single"/>
        </w:rPr>
        <w:t xml:space="preserve">             </w:t>
      </w:r>
      <w:r>
        <w:rPr>
          <w:rFonts w:hint="eastAsia" w:hAnsi="宋体" w:cs="宋体"/>
          <w:sz w:val="21"/>
        </w:rPr>
        <w:t xml:space="preserve">    </w:t>
      </w:r>
    </w:p>
    <w:p w14:paraId="39ABBA97">
      <w:pPr>
        <w:pStyle w:val="28"/>
        <w:spacing w:line="440" w:lineRule="exact"/>
        <w:ind w:firstLine="840"/>
        <w:rPr>
          <w:rFonts w:hAnsi="宋体" w:cs="宋体"/>
          <w:sz w:val="21"/>
        </w:rPr>
      </w:pPr>
    </w:p>
    <w:p w14:paraId="0D5DFCBF">
      <w:pPr>
        <w:pStyle w:val="28"/>
        <w:spacing w:line="440" w:lineRule="exact"/>
        <w:ind w:firstLine="840"/>
        <w:rPr>
          <w:rFonts w:hAnsi="宋体" w:cs="宋体"/>
          <w:sz w:val="21"/>
        </w:rPr>
      </w:pPr>
      <w:r>
        <w:rPr>
          <w:rFonts w:hint="eastAsia" w:hAnsi="宋体" w:cs="宋体"/>
          <w:sz w:val="21"/>
        </w:rPr>
        <w:t>法定代表人签字：</w:t>
      </w:r>
    </w:p>
    <w:p w14:paraId="50D7FC0F">
      <w:pPr>
        <w:pStyle w:val="28"/>
        <w:spacing w:line="440" w:lineRule="exact"/>
        <w:ind w:firstLine="840"/>
        <w:rPr>
          <w:rFonts w:hAnsi="宋体" w:cs="宋体"/>
          <w:sz w:val="21"/>
          <w:u w:val="single"/>
        </w:rPr>
      </w:pPr>
      <w:r>
        <w:rPr>
          <w:rFonts w:hint="eastAsia" w:hAnsi="宋体" w:cs="宋体"/>
          <w:sz w:val="21"/>
        </w:rPr>
        <w:t>委托代理人签字：</w:t>
      </w:r>
      <w:r>
        <w:rPr>
          <w:rFonts w:hint="eastAsia" w:hAnsi="宋体" w:cs="宋体"/>
          <w:sz w:val="21"/>
          <w:u w:val="single"/>
        </w:rPr>
        <w:t xml:space="preserve">                       </w:t>
      </w:r>
    </w:p>
    <w:p w14:paraId="59C419F9">
      <w:pPr>
        <w:pStyle w:val="28"/>
        <w:spacing w:line="440" w:lineRule="exact"/>
        <w:ind w:firstLine="840"/>
        <w:rPr>
          <w:rFonts w:hAnsi="宋体" w:cs="宋体"/>
          <w:sz w:val="21"/>
        </w:rPr>
      </w:pPr>
      <w:r>
        <w:rPr>
          <w:rFonts w:hint="eastAsia" w:hAnsi="宋体" w:cs="宋体"/>
          <w:sz w:val="21"/>
        </w:rPr>
        <w:t>供应商（公章）：</w:t>
      </w:r>
      <w:r>
        <w:rPr>
          <w:rFonts w:hint="eastAsia" w:hAnsi="宋体" w:cs="宋体"/>
          <w:sz w:val="21"/>
          <w:u w:val="single"/>
        </w:rPr>
        <w:t xml:space="preserve">                                    </w:t>
      </w:r>
      <w:r>
        <w:rPr>
          <w:rFonts w:hint="eastAsia" w:hAnsi="宋体" w:cs="宋体"/>
          <w:sz w:val="21"/>
        </w:rPr>
        <w:t xml:space="preserve">  </w:t>
      </w:r>
    </w:p>
    <w:p w14:paraId="25C9F6FA">
      <w:pPr>
        <w:pStyle w:val="28"/>
        <w:spacing w:line="440" w:lineRule="exact"/>
        <w:ind w:firstLine="840"/>
        <w:rPr>
          <w:rFonts w:hAnsi="宋体" w:cs="宋体"/>
          <w:sz w:val="21"/>
          <w:u w:val="single"/>
        </w:rPr>
      </w:pPr>
      <w:r>
        <w:rPr>
          <w:rFonts w:hint="eastAsia" w:hAnsi="宋体" w:cs="宋体"/>
          <w:sz w:val="21"/>
        </w:rPr>
        <w:t>日期：</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w:t>
      </w:r>
    </w:p>
    <w:p w14:paraId="7D8BC09D">
      <w:pPr>
        <w:pStyle w:val="28"/>
        <w:spacing w:line="440" w:lineRule="exact"/>
        <w:ind w:firstLine="840"/>
        <w:rPr>
          <w:rFonts w:hAnsi="宋体" w:cs="宋体"/>
          <w:sz w:val="21"/>
        </w:rPr>
      </w:pPr>
    </w:p>
    <w:p w14:paraId="00751285">
      <w:pPr>
        <w:pStyle w:val="28"/>
        <w:spacing w:line="440" w:lineRule="exact"/>
        <w:ind w:firstLine="840"/>
        <w:rPr>
          <w:rFonts w:hAnsi="宋体" w:cs="宋体"/>
          <w:sz w:val="21"/>
        </w:rPr>
      </w:pPr>
      <w:r>
        <w:rPr>
          <w:rFonts w:hint="eastAsia" w:hAnsi="宋体" w:cs="宋体"/>
          <w:sz w:val="21"/>
        </w:rPr>
        <w:t>供应商开户银行：</w:t>
      </w:r>
      <w:r>
        <w:rPr>
          <w:rFonts w:hint="eastAsia" w:hAnsi="宋体" w:cs="宋体"/>
          <w:sz w:val="21"/>
          <w:u w:val="single"/>
        </w:rPr>
        <w:t xml:space="preserve">                         </w:t>
      </w:r>
      <w:r>
        <w:rPr>
          <w:rFonts w:hint="eastAsia" w:hAnsi="宋体" w:cs="宋体"/>
          <w:sz w:val="21"/>
        </w:rPr>
        <w:t xml:space="preserve">  </w:t>
      </w:r>
    </w:p>
    <w:p w14:paraId="2081C869">
      <w:pPr>
        <w:pStyle w:val="28"/>
        <w:spacing w:line="440" w:lineRule="exact"/>
        <w:ind w:firstLine="840"/>
        <w:rPr>
          <w:rFonts w:hAnsi="宋体" w:cs="宋体"/>
          <w:sz w:val="21"/>
          <w:u w:val="single"/>
        </w:rPr>
      </w:pPr>
      <w:r>
        <w:rPr>
          <w:rFonts w:hint="eastAsia" w:hAnsi="宋体" w:cs="宋体"/>
          <w:sz w:val="21"/>
        </w:rPr>
        <w:t>开户银帐号：</w:t>
      </w:r>
      <w:r>
        <w:rPr>
          <w:rFonts w:hint="eastAsia" w:hAnsi="宋体" w:cs="宋体"/>
          <w:sz w:val="21"/>
          <w:u w:val="single"/>
        </w:rPr>
        <w:t xml:space="preserve">           </w:t>
      </w:r>
    </w:p>
    <w:p w14:paraId="7700D4FB">
      <w:pPr>
        <w:pStyle w:val="28"/>
        <w:spacing w:line="440" w:lineRule="exact"/>
        <w:ind w:firstLine="840"/>
        <w:rPr>
          <w:rFonts w:hAnsi="宋体" w:cs="宋体"/>
          <w:sz w:val="21"/>
        </w:rPr>
      </w:pPr>
      <w:r>
        <w:rPr>
          <w:rFonts w:hint="eastAsia" w:hAnsi="宋体" w:cs="宋体"/>
          <w:sz w:val="21"/>
        </w:rPr>
        <w:t xml:space="preserve">户名全称：    </w:t>
      </w:r>
    </w:p>
    <w:p w14:paraId="0936BA70">
      <w:pPr>
        <w:spacing w:line="440" w:lineRule="exact"/>
        <w:rPr>
          <w:rFonts w:ascii="宋体" w:hAnsi="宋体" w:cs="宋体"/>
          <w:szCs w:val="21"/>
        </w:rPr>
      </w:pPr>
    </w:p>
    <w:p w14:paraId="0CE50D94">
      <w:pPr>
        <w:spacing w:line="360" w:lineRule="exact"/>
        <w:rPr>
          <w:rFonts w:ascii="宋体" w:hAnsi="宋体" w:cs="宋体"/>
          <w:szCs w:val="21"/>
        </w:rPr>
      </w:pPr>
    </w:p>
    <w:p w14:paraId="6A7C6CF9">
      <w:pPr>
        <w:pStyle w:val="34"/>
        <w:tabs>
          <w:tab w:val="clear" w:pos="4153"/>
          <w:tab w:val="clear" w:pos="8306"/>
        </w:tabs>
        <w:rPr>
          <w:rFonts w:ascii="宋体" w:hAnsi="宋体" w:cs="宋体"/>
          <w:szCs w:val="21"/>
        </w:rPr>
      </w:pPr>
    </w:p>
    <w:p w14:paraId="3648C49A">
      <w:pPr>
        <w:pStyle w:val="34"/>
        <w:tabs>
          <w:tab w:val="clear" w:pos="4153"/>
          <w:tab w:val="clear" w:pos="8306"/>
        </w:tabs>
        <w:rPr>
          <w:rFonts w:ascii="宋体" w:hAnsi="宋体" w:cs="宋体"/>
          <w:szCs w:val="21"/>
        </w:rPr>
      </w:pPr>
    </w:p>
    <w:p w14:paraId="34ABDE4A">
      <w:pPr>
        <w:pStyle w:val="34"/>
        <w:tabs>
          <w:tab w:val="clear" w:pos="4153"/>
          <w:tab w:val="clear" w:pos="8306"/>
        </w:tabs>
        <w:rPr>
          <w:rFonts w:ascii="宋体" w:hAnsi="宋体" w:cs="宋体"/>
          <w:szCs w:val="21"/>
        </w:rPr>
      </w:pPr>
    </w:p>
    <w:p w14:paraId="0577529C">
      <w:pPr>
        <w:pStyle w:val="34"/>
        <w:tabs>
          <w:tab w:val="clear" w:pos="4153"/>
          <w:tab w:val="clear" w:pos="8306"/>
        </w:tabs>
        <w:rPr>
          <w:rFonts w:ascii="宋体" w:hAnsi="宋体" w:cs="宋体"/>
          <w:szCs w:val="21"/>
        </w:rPr>
      </w:pPr>
    </w:p>
    <w:p w14:paraId="5C326059">
      <w:pPr>
        <w:spacing w:line="360" w:lineRule="exact"/>
        <w:rPr>
          <w:rFonts w:ascii="宋体" w:hAnsi="宋体" w:cs="宋体"/>
          <w:szCs w:val="21"/>
        </w:rPr>
      </w:pPr>
    </w:p>
    <w:p w14:paraId="7ED07039">
      <w:pPr>
        <w:spacing w:line="360" w:lineRule="exact"/>
        <w:rPr>
          <w:rFonts w:ascii="宋体" w:hAnsi="宋体" w:cs="宋体"/>
          <w:szCs w:val="21"/>
        </w:rPr>
      </w:pPr>
    </w:p>
    <w:p w14:paraId="11BB0494">
      <w:pPr>
        <w:spacing w:line="360" w:lineRule="exact"/>
        <w:rPr>
          <w:rFonts w:ascii="宋体" w:hAnsi="宋体" w:cs="宋体"/>
          <w:szCs w:val="21"/>
        </w:rPr>
      </w:pPr>
    </w:p>
    <w:p w14:paraId="47FEBC89">
      <w:pPr>
        <w:spacing w:line="320" w:lineRule="exact"/>
        <w:jc w:val="center"/>
        <w:rPr>
          <w:rFonts w:ascii="宋体" w:hAnsi="宋体" w:cs="宋体"/>
          <w:b/>
          <w:sz w:val="32"/>
          <w:szCs w:val="32"/>
        </w:rPr>
      </w:pPr>
      <w:r>
        <w:rPr>
          <w:rFonts w:hint="eastAsia" w:ascii="宋体" w:hAnsi="宋体" w:cs="宋体"/>
          <w:b/>
          <w:sz w:val="32"/>
          <w:szCs w:val="32"/>
        </w:rPr>
        <w:t>磋商声明书</w:t>
      </w:r>
    </w:p>
    <w:p w14:paraId="3EED366A">
      <w:pPr>
        <w:spacing w:line="320" w:lineRule="exact"/>
        <w:jc w:val="center"/>
        <w:rPr>
          <w:rFonts w:ascii="宋体" w:hAnsi="宋体" w:cs="宋体"/>
          <w:sz w:val="24"/>
          <w:szCs w:val="20"/>
        </w:rPr>
      </w:pPr>
    </w:p>
    <w:p w14:paraId="58CD4905">
      <w:pPr>
        <w:pStyle w:val="28"/>
        <w:spacing w:line="400" w:lineRule="exact"/>
        <w:rPr>
          <w:rFonts w:hAnsi="宋体" w:cs="宋体"/>
        </w:rPr>
      </w:pPr>
      <w:r>
        <w:rPr>
          <w:rFonts w:hint="eastAsia" w:hAnsi="宋体" w:cs="宋体"/>
          <w:sz w:val="21"/>
        </w:rPr>
        <w:t>致：</w:t>
      </w:r>
      <w:r>
        <w:rPr>
          <w:rFonts w:hint="eastAsia" w:hAnsi="宋体" w:cs="宋体"/>
          <w:sz w:val="21"/>
          <w:u w:val="single"/>
        </w:rPr>
        <w:t>广西正海招标有限公司</w:t>
      </w:r>
    </w:p>
    <w:p w14:paraId="22753400">
      <w:pPr>
        <w:spacing w:after="50" w:line="400" w:lineRule="exact"/>
        <w:ind w:firstLine="630" w:firstLineChars="300"/>
        <w:rPr>
          <w:rFonts w:ascii="宋体" w:hAnsi="宋体" w:cs="宋体"/>
          <w:szCs w:val="21"/>
        </w:rPr>
      </w:pPr>
      <w:r>
        <w:rPr>
          <w:rFonts w:hint="eastAsia" w:ascii="宋体" w:hAnsi="宋体" w:cs="宋体"/>
          <w:kern w:val="0"/>
          <w:szCs w:val="21"/>
          <w:u w:val="single"/>
        </w:rPr>
        <w:t xml:space="preserve">             </w:t>
      </w:r>
      <w:r>
        <w:rPr>
          <w:rFonts w:hint="eastAsia" w:ascii="宋体" w:hAnsi="宋体" w:cs="宋体"/>
          <w:szCs w:val="21"/>
        </w:rPr>
        <w:t>（供应商名称）系依据中华人民共和国法律成立的法人机构，经营地址</w:t>
      </w:r>
      <w:r>
        <w:rPr>
          <w:rFonts w:hint="eastAsia" w:ascii="宋体" w:hAnsi="宋体" w:cs="宋体"/>
          <w:szCs w:val="21"/>
          <w:u w:val="single"/>
        </w:rPr>
        <w:t xml:space="preserve">                  </w:t>
      </w:r>
      <w:r>
        <w:rPr>
          <w:rFonts w:hint="eastAsia" w:ascii="宋体" w:hAnsi="宋体" w:cs="宋体"/>
          <w:szCs w:val="21"/>
        </w:rPr>
        <w:t>。</w:t>
      </w:r>
    </w:p>
    <w:p w14:paraId="2A440D56">
      <w:pPr>
        <w:spacing w:line="400" w:lineRule="exact"/>
        <w:ind w:firstLine="420" w:firstLineChars="200"/>
        <w:rPr>
          <w:rFonts w:ascii="宋体" w:hAnsi="宋体" w:cs="宋体"/>
          <w:szCs w:val="21"/>
        </w:rPr>
      </w:pPr>
      <w:r>
        <w:rPr>
          <w:rFonts w:hint="eastAsia" w:ascii="宋体" w:hAnsi="宋体" w:cs="宋体"/>
          <w:szCs w:val="21"/>
        </w:rPr>
        <w:t>我</w:t>
      </w:r>
      <w:r>
        <w:rPr>
          <w:rFonts w:hint="eastAsia" w:ascii="宋体" w:hAnsi="宋体" w:cs="宋体"/>
          <w:kern w:val="0"/>
          <w:szCs w:val="21"/>
          <w:u w:val="single"/>
        </w:rPr>
        <w:t xml:space="preserve">             </w:t>
      </w:r>
      <w:r>
        <w:rPr>
          <w:rFonts w:hint="eastAsia" w:ascii="宋体" w:hAnsi="宋体" w:cs="宋体"/>
          <w:szCs w:val="21"/>
        </w:rPr>
        <w:t>（姓名）系</w:t>
      </w:r>
      <w:r>
        <w:rPr>
          <w:rFonts w:hint="eastAsia" w:ascii="宋体" w:hAnsi="宋体" w:cs="宋体"/>
          <w:kern w:val="0"/>
          <w:szCs w:val="21"/>
          <w:u w:val="single"/>
        </w:rPr>
        <w:t xml:space="preserve">             </w:t>
      </w:r>
      <w:r>
        <w:rPr>
          <w:rFonts w:hint="eastAsia" w:ascii="宋体" w:hAnsi="宋体" w:cs="宋体"/>
          <w:szCs w:val="21"/>
        </w:rPr>
        <w:t>（供应商名称）的法定代表人，职务是</w:t>
      </w:r>
      <w:r>
        <w:rPr>
          <w:rFonts w:hint="eastAsia" w:ascii="宋体" w:hAnsi="宋体" w:cs="宋体"/>
          <w:szCs w:val="21"/>
          <w:u w:val="single"/>
        </w:rPr>
        <w:t xml:space="preserve">         </w:t>
      </w:r>
      <w:r>
        <w:rPr>
          <w:rFonts w:hint="eastAsia" w:ascii="宋体" w:hAnsi="宋体" w:cs="宋体"/>
          <w:szCs w:val="21"/>
        </w:rPr>
        <w:t>，我方自愿参加贵方组织的</w:t>
      </w:r>
      <w:r>
        <w:rPr>
          <w:rFonts w:hint="eastAsia" w:ascii="宋体" w:hAnsi="宋体" w:cs="宋体"/>
          <w:kern w:val="0"/>
          <w:szCs w:val="21"/>
          <w:u w:val="single"/>
        </w:rPr>
        <w:t xml:space="preserve">             </w:t>
      </w:r>
      <w:r>
        <w:rPr>
          <w:rFonts w:hint="eastAsia" w:ascii="宋体" w:hAnsi="宋体" w:cs="宋体"/>
          <w:szCs w:val="21"/>
        </w:rPr>
        <w:t>项目（项目编号：</w:t>
      </w:r>
      <w:r>
        <w:rPr>
          <w:rFonts w:hint="eastAsia" w:ascii="宋体" w:hAnsi="宋体" w:cs="宋体"/>
          <w:szCs w:val="21"/>
          <w:u w:val="single"/>
        </w:rPr>
        <w:t xml:space="preserve">        </w:t>
      </w:r>
      <w:r>
        <w:rPr>
          <w:rFonts w:hint="eastAsia" w:ascii="宋体" w:hAnsi="宋体" w:cs="宋体"/>
          <w:szCs w:val="21"/>
        </w:rPr>
        <w:t>）的磋商，为便于贵方公正、择优地确定成交供应商及其磋商产品和服务，我方就本次磋商有关事项郑重声明如下：</w:t>
      </w:r>
    </w:p>
    <w:p w14:paraId="64CCC10F">
      <w:pPr>
        <w:spacing w:line="400" w:lineRule="exact"/>
        <w:ind w:firstLine="420" w:firstLineChars="200"/>
        <w:rPr>
          <w:rFonts w:ascii="宋体" w:hAnsi="宋体" w:cs="宋体"/>
          <w:szCs w:val="21"/>
        </w:rPr>
      </w:pPr>
      <w:r>
        <w:rPr>
          <w:rFonts w:hint="eastAsia" w:ascii="宋体" w:hAnsi="宋体" w:cs="宋体"/>
          <w:szCs w:val="21"/>
        </w:rPr>
        <w:t>1.我方向贵方提交的所有响应文件、资料都是准确的真实的合法的。</w:t>
      </w:r>
    </w:p>
    <w:p w14:paraId="4AD22687">
      <w:pPr>
        <w:spacing w:line="400" w:lineRule="exact"/>
        <w:ind w:firstLine="420" w:firstLineChars="200"/>
        <w:rPr>
          <w:rFonts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14:paraId="565FFAFB">
      <w:pPr>
        <w:spacing w:line="400" w:lineRule="exact"/>
        <w:ind w:firstLine="420" w:firstLineChars="200"/>
        <w:rPr>
          <w:rFonts w:ascii="宋体" w:hAnsi="宋体" w:cs="宋体"/>
          <w:szCs w:val="21"/>
        </w:rPr>
      </w:pPr>
      <w:r>
        <w:rPr>
          <w:rFonts w:hint="eastAsia" w:ascii="宋体" w:hAnsi="宋体" w:cs="宋体"/>
          <w:szCs w:val="21"/>
        </w:rPr>
        <w:t>3.我方此次向贵方提供的服务项目名称为：</w:t>
      </w:r>
      <w:r>
        <w:rPr>
          <w:rFonts w:hint="eastAsia" w:ascii="宋体" w:hAnsi="宋体" w:cs="宋体"/>
          <w:szCs w:val="21"/>
          <w:u w:val="single"/>
        </w:rPr>
        <w:t xml:space="preserve">                              </w:t>
      </w:r>
    </w:p>
    <w:p w14:paraId="40AC8CE8">
      <w:pPr>
        <w:spacing w:line="400" w:lineRule="exact"/>
        <w:ind w:firstLine="420" w:firstLineChars="200"/>
        <w:rPr>
          <w:rFonts w:ascii="宋体" w:hAnsi="宋体" w:cs="宋体"/>
          <w:szCs w:val="21"/>
          <w:u w:val="single"/>
        </w:rPr>
      </w:pPr>
      <w:r>
        <w:rPr>
          <w:rFonts w:hint="eastAsia" w:ascii="宋体" w:hAnsi="宋体" w:cs="宋体"/>
          <w:szCs w:val="21"/>
        </w:rPr>
        <w:t>4.我方诚意提请贵方关注：近期有关该服务的重大决策和事项有：</w:t>
      </w:r>
      <w:r>
        <w:rPr>
          <w:rFonts w:hint="eastAsia" w:ascii="宋体" w:hAnsi="宋体" w:cs="宋体"/>
          <w:szCs w:val="21"/>
          <w:u w:val="single"/>
        </w:rPr>
        <w:t>　　　　　　　　　</w:t>
      </w:r>
      <w:r>
        <w:rPr>
          <w:rFonts w:hint="eastAsia" w:ascii="宋体" w:hAnsi="宋体" w:cs="宋体"/>
          <w:szCs w:val="21"/>
        </w:rPr>
        <w:t>。</w:t>
      </w:r>
    </w:p>
    <w:p w14:paraId="07774712">
      <w:pPr>
        <w:pStyle w:val="23"/>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5. 以上事项如有虚假或隐瞒，我方愿意承担一切后果，并不主张任何旨在减轻或免除法律责任的辩解。</w:t>
      </w:r>
    </w:p>
    <w:p w14:paraId="503F068A">
      <w:pPr>
        <w:spacing w:line="400" w:lineRule="exact"/>
        <w:ind w:firstLine="420" w:firstLineChars="200"/>
        <w:rPr>
          <w:rFonts w:ascii="宋体" w:hAnsi="宋体" w:cs="宋体"/>
          <w:szCs w:val="21"/>
        </w:rPr>
      </w:pPr>
      <w:r>
        <w:rPr>
          <w:rFonts w:hint="eastAsia" w:ascii="宋体" w:hAnsi="宋体" w:cs="宋体"/>
          <w:szCs w:val="21"/>
        </w:rPr>
        <w:t>6. 根据《中华人民共和国政府采购法实施条例》第五十条要求对采购合同进行公告，但采购合同中涉及国家秘密、商业秘密的内容除外。我方就对本次响应文件进行注明如下：（两项内容中必须选择一项）</w:t>
      </w:r>
    </w:p>
    <w:p w14:paraId="6B7A095B">
      <w:pPr>
        <w:spacing w:line="400" w:lineRule="exact"/>
        <w:ind w:firstLine="420" w:firstLineChars="200"/>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42F1625A">
      <w:pPr>
        <w:spacing w:line="400" w:lineRule="exact"/>
        <w:ind w:firstLine="420" w:firstLineChars="200"/>
        <w:rPr>
          <w:rFonts w:ascii="宋体" w:hAnsi="宋体" w:cs="宋体"/>
          <w:szCs w:val="21"/>
          <w:u w:val="single"/>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7554FB0F">
      <w:pPr>
        <w:spacing w:line="400" w:lineRule="exact"/>
        <w:ind w:firstLine="420" w:firstLineChars="200"/>
        <w:rPr>
          <w:rFonts w:ascii="宋体" w:hAnsi="宋体" w:cs="宋体"/>
          <w:szCs w:val="21"/>
        </w:rPr>
      </w:pPr>
      <w:r>
        <w:rPr>
          <w:rFonts w:hint="eastAsia" w:ascii="宋体" w:hAnsi="宋体" w:cs="宋体"/>
          <w:szCs w:val="21"/>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95B6330">
      <w:pPr>
        <w:ind w:right="480" w:firstLine="4792" w:firstLineChars="2282"/>
        <w:rPr>
          <w:rFonts w:ascii="宋体" w:hAnsi="宋体" w:cs="宋体"/>
          <w:szCs w:val="21"/>
        </w:rPr>
      </w:pPr>
    </w:p>
    <w:p w14:paraId="71ABDE11">
      <w:pPr>
        <w:ind w:right="480" w:firstLine="4792" w:firstLineChars="2282"/>
        <w:rPr>
          <w:rFonts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p>
    <w:p w14:paraId="4EFF9C50">
      <w:pPr>
        <w:spacing w:after="50"/>
        <w:ind w:right="480" w:firstLine="4830" w:firstLineChars="2300"/>
        <w:rPr>
          <w:rFonts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5ED304A9">
      <w:pPr>
        <w:spacing w:after="50"/>
        <w:ind w:right="480" w:firstLine="210" w:firstLineChars="100"/>
        <w:jc w:val="right"/>
        <w:rPr>
          <w:rFonts w:ascii="宋体" w:hAnsi="宋体" w:cs="宋体"/>
          <w:szCs w:val="21"/>
        </w:rPr>
      </w:pPr>
      <w:r>
        <w:rPr>
          <w:rFonts w:hint="eastAsia" w:ascii="宋体" w:hAnsi="宋体" w:cs="宋体"/>
          <w:szCs w:val="21"/>
        </w:rPr>
        <w:t>日期：    年    月    日</w:t>
      </w:r>
    </w:p>
    <w:p w14:paraId="5AE9179D">
      <w:pPr>
        <w:spacing w:line="360" w:lineRule="exact"/>
        <w:jc w:val="left"/>
        <w:rPr>
          <w:rFonts w:ascii="宋体" w:hAnsi="宋体" w:cs="宋体"/>
          <w:b/>
          <w:szCs w:val="21"/>
        </w:rPr>
      </w:pPr>
    </w:p>
    <w:p w14:paraId="6BCAD91B">
      <w:pPr>
        <w:pStyle w:val="22"/>
        <w:ind w:left="63" w:right="63"/>
        <w:rPr>
          <w:rFonts w:ascii="宋体" w:hAnsi="宋体" w:cs="宋体"/>
          <w:b/>
          <w:szCs w:val="21"/>
        </w:rPr>
      </w:pPr>
    </w:p>
    <w:p w14:paraId="5EE7CD59">
      <w:pPr>
        <w:rPr>
          <w:rFonts w:ascii="宋体" w:hAnsi="宋体" w:cs="宋体"/>
          <w:b/>
          <w:szCs w:val="21"/>
        </w:rPr>
      </w:pPr>
    </w:p>
    <w:p w14:paraId="6628DE51">
      <w:pPr>
        <w:rPr>
          <w:rFonts w:ascii="宋体" w:hAnsi="宋体" w:cs="宋体"/>
          <w:b/>
          <w:szCs w:val="21"/>
        </w:rPr>
      </w:pPr>
    </w:p>
    <w:p w14:paraId="1C8222A5">
      <w:pPr>
        <w:pStyle w:val="232"/>
        <w:ind w:firstLine="420"/>
      </w:pPr>
    </w:p>
    <w:p w14:paraId="28D0C302">
      <w:pPr>
        <w:spacing w:line="300" w:lineRule="auto"/>
        <w:jc w:val="center"/>
        <w:rPr>
          <w:rFonts w:ascii="宋体" w:hAnsi="宋体" w:cs="宋体"/>
          <w:b/>
          <w:sz w:val="32"/>
          <w:szCs w:val="32"/>
        </w:rPr>
      </w:pPr>
      <w:r>
        <w:rPr>
          <w:rFonts w:hint="eastAsia" w:ascii="宋体" w:hAnsi="宋体" w:cs="宋体"/>
          <w:b/>
          <w:sz w:val="32"/>
          <w:szCs w:val="32"/>
        </w:rPr>
        <w:t>报 价 表</w:t>
      </w:r>
    </w:p>
    <w:p w14:paraId="3BD77C33">
      <w:pPr>
        <w:spacing w:line="30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593C55FC">
      <w:pPr>
        <w:spacing w:line="300" w:lineRule="auto"/>
        <w:rPr>
          <w:rFonts w:ascii="宋体" w:hAnsi="宋体" w:cs="宋体"/>
          <w:szCs w:val="21"/>
        </w:rPr>
      </w:pPr>
      <w:r>
        <w:rPr>
          <w:rFonts w:hint="eastAsia" w:ascii="宋体" w:hAnsi="宋体" w:cs="宋体"/>
          <w:szCs w:val="21"/>
        </w:rPr>
        <w:t>项目名称:</w:t>
      </w:r>
    </w:p>
    <w:p w14:paraId="09456C7F">
      <w:pPr>
        <w:spacing w:line="300" w:lineRule="auto"/>
        <w:rPr>
          <w:rFonts w:ascii="宋体" w:hAnsi="宋体" w:cs="宋体"/>
          <w:szCs w:val="21"/>
        </w:rPr>
      </w:pPr>
      <w:r>
        <w:rPr>
          <w:rFonts w:hint="eastAsia" w:ascii="宋体" w:hAnsi="宋体" w:cs="宋体"/>
          <w:szCs w:val="21"/>
        </w:rPr>
        <w:t>分标（如有）：</w:t>
      </w:r>
    </w:p>
    <w:tbl>
      <w:tblPr>
        <w:tblStyle w:val="54"/>
        <w:tblW w:w="9520"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2"/>
        <w:gridCol w:w="1741"/>
        <w:gridCol w:w="1275"/>
        <w:gridCol w:w="1410"/>
        <w:gridCol w:w="1995"/>
        <w:gridCol w:w="2087"/>
      </w:tblGrid>
      <w:tr w14:paraId="528C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45E54E6">
            <w:pPr>
              <w:spacing w:line="360" w:lineRule="auto"/>
              <w:jc w:val="center"/>
              <w:rPr>
                <w:rFonts w:ascii="宋体" w:hAnsi="宋体" w:cs="仿宋_GB2312"/>
                <w:szCs w:val="21"/>
              </w:rPr>
            </w:pPr>
            <w:r>
              <w:rPr>
                <w:rFonts w:ascii="宋体" w:hAnsi="宋体" w:cs="仿宋_GB2312"/>
                <w:szCs w:val="21"/>
              </w:rPr>
              <w:t>序号</w:t>
            </w:r>
          </w:p>
        </w:tc>
        <w:tc>
          <w:tcPr>
            <w:tcW w:w="1741" w:type="dxa"/>
            <w:tcBorders>
              <w:top w:val="single" w:color="auto" w:sz="4" w:space="0"/>
              <w:left w:val="single" w:color="auto" w:sz="4" w:space="0"/>
              <w:bottom w:val="single" w:color="auto" w:sz="4" w:space="0"/>
              <w:right w:val="single" w:color="auto" w:sz="4" w:space="0"/>
            </w:tcBorders>
            <w:vAlign w:val="center"/>
          </w:tcPr>
          <w:p w14:paraId="79971490">
            <w:pPr>
              <w:spacing w:line="360" w:lineRule="auto"/>
              <w:jc w:val="center"/>
              <w:rPr>
                <w:rFonts w:ascii="宋体" w:hAnsi="宋体" w:cs="仿宋_GB2312"/>
                <w:szCs w:val="21"/>
              </w:rPr>
            </w:pPr>
            <w:r>
              <w:rPr>
                <w:rFonts w:hint="eastAsia" w:ascii="宋体" w:hAnsi="宋体"/>
                <w:b/>
                <w:szCs w:val="21"/>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7D3B35A6">
            <w:pPr>
              <w:spacing w:line="360" w:lineRule="auto"/>
              <w:jc w:val="center"/>
              <w:rPr>
                <w:rFonts w:ascii="宋体" w:hAnsi="宋体" w:cs="仿宋_GB2312"/>
                <w:szCs w:val="21"/>
              </w:rPr>
            </w:pPr>
            <w:r>
              <w:rPr>
                <w:rFonts w:hint="eastAsia" w:ascii="宋体" w:hAnsi="宋体" w:cs="仿宋_GB2312"/>
                <w:szCs w:val="21"/>
              </w:rPr>
              <w:t>数量及单位</w:t>
            </w:r>
          </w:p>
        </w:tc>
        <w:tc>
          <w:tcPr>
            <w:tcW w:w="1410" w:type="dxa"/>
            <w:tcBorders>
              <w:top w:val="single" w:color="auto" w:sz="4" w:space="0"/>
              <w:left w:val="single" w:color="auto" w:sz="4" w:space="0"/>
              <w:bottom w:val="single" w:color="auto" w:sz="4" w:space="0"/>
              <w:right w:val="single" w:color="auto" w:sz="4" w:space="0"/>
            </w:tcBorders>
            <w:vAlign w:val="center"/>
          </w:tcPr>
          <w:p w14:paraId="471A9822">
            <w:pPr>
              <w:spacing w:line="360" w:lineRule="auto"/>
              <w:jc w:val="center"/>
              <w:rPr>
                <w:rFonts w:ascii="宋体" w:hAnsi="宋体" w:cs="仿宋_GB2312"/>
                <w:szCs w:val="21"/>
              </w:rPr>
            </w:pPr>
            <w:r>
              <w:rPr>
                <w:rFonts w:hint="eastAsia" w:ascii="宋体" w:hAnsi="宋体" w:cs="仿宋_GB2312"/>
                <w:szCs w:val="21"/>
              </w:rPr>
              <w:t>单价（元/分钟/次）</w:t>
            </w:r>
          </w:p>
        </w:tc>
        <w:tc>
          <w:tcPr>
            <w:tcW w:w="1995" w:type="dxa"/>
            <w:tcBorders>
              <w:top w:val="single" w:color="auto" w:sz="4" w:space="0"/>
              <w:left w:val="single" w:color="auto" w:sz="4" w:space="0"/>
              <w:bottom w:val="single" w:color="auto" w:sz="4" w:space="0"/>
              <w:right w:val="single" w:color="auto" w:sz="4" w:space="0"/>
            </w:tcBorders>
            <w:vAlign w:val="center"/>
          </w:tcPr>
          <w:p w14:paraId="033D9363">
            <w:pPr>
              <w:spacing w:line="360" w:lineRule="auto"/>
              <w:jc w:val="center"/>
              <w:rPr>
                <w:rFonts w:ascii="宋体" w:hAnsi="宋体" w:cs="仿宋_GB2312"/>
                <w:szCs w:val="21"/>
              </w:rPr>
            </w:pPr>
            <w:r>
              <w:rPr>
                <w:rFonts w:hint="eastAsia" w:ascii="宋体" w:hAnsi="宋体" w:cs="仿宋_GB2312"/>
                <w:szCs w:val="21"/>
              </w:rPr>
              <w:t>月卡（元/月）</w:t>
            </w:r>
          </w:p>
        </w:tc>
        <w:tc>
          <w:tcPr>
            <w:tcW w:w="2087" w:type="dxa"/>
            <w:tcBorders>
              <w:top w:val="single" w:color="auto" w:sz="4" w:space="0"/>
              <w:left w:val="single" w:color="auto" w:sz="4" w:space="0"/>
              <w:bottom w:val="single" w:color="auto" w:sz="4" w:space="0"/>
              <w:right w:val="single" w:color="auto" w:sz="4" w:space="0"/>
            </w:tcBorders>
            <w:vAlign w:val="center"/>
          </w:tcPr>
          <w:p w14:paraId="638BAD59">
            <w:pPr>
              <w:spacing w:line="360" w:lineRule="auto"/>
              <w:jc w:val="center"/>
              <w:rPr>
                <w:rFonts w:ascii="宋体" w:hAnsi="宋体" w:cs="仿宋_GB2312"/>
                <w:szCs w:val="21"/>
              </w:rPr>
            </w:pPr>
            <w:r>
              <w:rPr>
                <w:rFonts w:hint="eastAsia" w:ascii="宋体" w:hAnsi="宋体" w:cs="仿宋_GB2312"/>
                <w:szCs w:val="21"/>
              </w:rPr>
              <w:t>学期卡（以150天计）/元</w:t>
            </w:r>
          </w:p>
        </w:tc>
      </w:tr>
      <w:tr w14:paraId="5ADBF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041649F">
            <w:pPr>
              <w:spacing w:line="360" w:lineRule="auto"/>
              <w:jc w:val="center"/>
              <w:rPr>
                <w:rFonts w:ascii="宋体" w:hAnsi="宋体" w:cs="仿宋_GB2312"/>
                <w:szCs w:val="21"/>
              </w:rPr>
            </w:pPr>
            <w:r>
              <w:rPr>
                <w:rFonts w:ascii="宋体" w:hAnsi="宋体" w:cs="仿宋_GB2312"/>
                <w:szCs w:val="21"/>
              </w:rPr>
              <w:t>1</w:t>
            </w:r>
          </w:p>
        </w:tc>
        <w:tc>
          <w:tcPr>
            <w:tcW w:w="1741" w:type="dxa"/>
            <w:tcBorders>
              <w:top w:val="single" w:color="auto" w:sz="4" w:space="0"/>
              <w:left w:val="single" w:color="auto" w:sz="4" w:space="0"/>
              <w:bottom w:val="single" w:color="auto" w:sz="4" w:space="0"/>
              <w:right w:val="single" w:color="auto" w:sz="4" w:space="0"/>
            </w:tcBorders>
            <w:vAlign w:val="center"/>
          </w:tcPr>
          <w:p w14:paraId="60BEB7E8">
            <w:pPr>
              <w:spacing w:line="360" w:lineRule="auto"/>
              <w:jc w:val="center"/>
              <w:rPr>
                <w:rFonts w:ascii="宋体" w:hAnsi="宋体" w:cs="仿宋_GB2312"/>
                <w:szCs w:val="21"/>
              </w:rPr>
            </w:pPr>
            <w:r>
              <w:rPr>
                <w:rFonts w:hint="eastAsia" w:ascii="宋体" w:hAnsi="宋体" w:cs="仿宋_GB2312"/>
                <w:szCs w:val="21"/>
              </w:rPr>
              <w:t>骑费</w:t>
            </w:r>
          </w:p>
        </w:tc>
        <w:tc>
          <w:tcPr>
            <w:tcW w:w="1275" w:type="dxa"/>
            <w:tcBorders>
              <w:top w:val="single" w:color="auto" w:sz="4" w:space="0"/>
              <w:left w:val="single" w:color="auto" w:sz="4" w:space="0"/>
              <w:bottom w:val="single" w:color="auto" w:sz="4" w:space="0"/>
              <w:right w:val="single" w:color="auto" w:sz="4" w:space="0"/>
            </w:tcBorders>
            <w:vAlign w:val="center"/>
          </w:tcPr>
          <w:p w14:paraId="3EF8EBCD">
            <w:pPr>
              <w:spacing w:line="360" w:lineRule="auto"/>
              <w:rPr>
                <w:rFonts w:ascii="宋体" w:hAnsi="宋体" w:cs="仿宋_GB2312"/>
                <w:szCs w:val="21"/>
              </w:rPr>
            </w:pPr>
          </w:p>
        </w:tc>
        <w:tc>
          <w:tcPr>
            <w:tcW w:w="1410" w:type="dxa"/>
            <w:tcBorders>
              <w:top w:val="single" w:color="auto" w:sz="4" w:space="0"/>
              <w:left w:val="single" w:color="auto" w:sz="4" w:space="0"/>
              <w:bottom w:val="single" w:color="auto" w:sz="4" w:space="0"/>
              <w:right w:val="single" w:color="auto" w:sz="4" w:space="0"/>
            </w:tcBorders>
          </w:tcPr>
          <w:p w14:paraId="6DB57CF2">
            <w:pPr>
              <w:spacing w:line="360" w:lineRule="auto"/>
              <w:rPr>
                <w:rFonts w:ascii="宋体" w:hAnsi="宋体" w:cs="仿宋_GB2312"/>
                <w:szCs w:val="21"/>
              </w:rPr>
            </w:pPr>
          </w:p>
        </w:tc>
        <w:tc>
          <w:tcPr>
            <w:tcW w:w="1995" w:type="dxa"/>
            <w:tcBorders>
              <w:top w:val="single" w:color="auto" w:sz="4" w:space="0"/>
              <w:left w:val="single" w:color="auto" w:sz="4" w:space="0"/>
              <w:bottom w:val="single" w:color="auto" w:sz="4" w:space="0"/>
              <w:right w:val="single" w:color="auto" w:sz="4" w:space="0"/>
            </w:tcBorders>
          </w:tcPr>
          <w:p w14:paraId="3F6763C9">
            <w:pPr>
              <w:spacing w:line="360" w:lineRule="auto"/>
              <w:rPr>
                <w:rFonts w:ascii="宋体" w:hAnsi="宋体" w:cs="仿宋_GB2312"/>
                <w:szCs w:val="21"/>
              </w:rPr>
            </w:pPr>
          </w:p>
        </w:tc>
        <w:tc>
          <w:tcPr>
            <w:tcW w:w="2087" w:type="dxa"/>
            <w:tcBorders>
              <w:top w:val="single" w:color="auto" w:sz="4" w:space="0"/>
              <w:left w:val="single" w:color="auto" w:sz="4" w:space="0"/>
              <w:bottom w:val="single" w:color="auto" w:sz="4" w:space="0"/>
              <w:right w:val="single" w:color="auto" w:sz="4" w:space="0"/>
            </w:tcBorders>
            <w:vAlign w:val="center"/>
          </w:tcPr>
          <w:p w14:paraId="0D976292">
            <w:pPr>
              <w:spacing w:line="360" w:lineRule="auto"/>
              <w:rPr>
                <w:rFonts w:ascii="宋体" w:hAnsi="宋体" w:cs="仿宋_GB2312"/>
                <w:szCs w:val="21"/>
              </w:rPr>
            </w:pPr>
          </w:p>
        </w:tc>
      </w:tr>
      <w:tr w14:paraId="404A1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FFE71CF">
            <w:pPr>
              <w:spacing w:line="360" w:lineRule="auto"/>
              <w:jc w:val="center"/>
              <w:rPr>
                <w:rFonts w:ascii="宋体" w:hAnsi="宋体" w:cs="仿宋_GB2312"/>
                <w:szCs w:val="21"/>
              </w:rPr>
            </w:pPr>
            <w:r>
              <w:rPr>
                <w:rFonts w:hint="eastAsia" w:ascii="宋体" w:hAnsi="宋体"/>
                <w:b/>
                <w:szCs w:val="21"/>
              </w:rPr>
              <w:t>……</w:t>
            </w:r>
          </w:p>
        </w:tc>
        <w:tc>
          <w:tcPr>
            <w:tcW w:w="1741" w:type="dxa"/>
            <w:tcBorders>
              <w:top w:val="single" w:color="auto" w:sz="4" w:space="0"/>
              <w:left w:val="single" w:color="auto" w:sz="4" w:space="0"/>
              <w:bottom w:val="single" w:color="auto" w:sz="4" w:space="0"/>
              <w:right w:val="single" w:color="auto" w:sz="4" w:space="0"/>
            </w:tcBorders>
            <w:vAlign w:val="center"/>
          </w:tcPr>
          <w:p w14:paraId="48672B26">
            <w:pPr>
              <w:spacing w:line="360" w:lineRule="auto"/>
              <w:jc w:val="center"/>
              <w:rPr>
                <w:rFonts w:ascii="宋体" w:hAnsi="宋体" w:cs="仿宋_GB2312"/>
                <w:szCs w:val="21"/>
              </w:rPr>
            </w:pPr>
            <w:r>
              <w:rPr>
                <w:rFonts w:hint="eastAsia" w:ascii="宋体" w:hAnsi="宋体"/>
                <w:b/>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14:paraId="7E0CAB28">
            <w:pPr>
              <w:spacing w:line="360" w:lineRule="auto"/>
              <w:rPr>
                <w:rFonts w:ascii="宋体" w:hAnsi="宋体" w:cs="仿宋_GB2312"/>
                <w:szCs w:val="21"/>
              </w:rPr>
            </w:pPr>
          </w:p>
        </w:tc>
        <w:tc>
          <w:tcPr>
            <w:tcW w:w="1410" w:type="dxa"/>
            <w:tcBorders>
              <w:top w:val="single" w:color="auto" w:sz="4" w:space="0"/>
              <w:left w:val="single" w:color="auto" w:sz="4" w:space="0"/>
              <w:bottom w:val="single" w:color="auto" w:sz="4" w:space="0"/>
              <w:right w:val="single" w:color="auto" w:sz="4" w:space="0"/>
            </w:tcBorders>
          </w:tcPr>
          <w:p w14:paraId="0C042EA2">
            <w:pPr>
              <w:spacing w:line="360" w:lineRule="auto"/>
              <w:rPr>
                <w:rFonts w:ascii="宋体" w:hAnsi="宋体" w:cs="仿宋_GB2312"/>
                <w:szCs w:val="21"/>
              </w:rPr>
            </w:pPr>
          </w:p>
        </w:tc>
        <w:tc>
          <w:tcPr>
            <w:tcW w:w="1995" w:type="dxa"/>
            <w:tcBorders>
              <w:top w:val="single" w:color="auto" w:sz="4" w:space="0"/>
              <w:left w:val="single" w:color="auto" w:sz="4" w:space="0"/>
              <w:bottom w:val="single" w:color="auto" w:sz="4" w:space="0"/>
              <w:right w:val="single" w:color="auto" w:sz="4" w:space="0"/>
            </w:tcBorders>
          </w:tcPr>
          <w:p w14:paraId="68032295">
            <w:pPr>
              <w:spacing w:line="360" w:lineRule="auto"/>
              <w:rPr>
                <w:rFonts w:ascii="宋体" w:hAnsi="宋体" w:cs="仿宋_GB2312"/>
                <w:szCs w:val="21"/>
              </w:rPr>
            </w:pPr>
          </w:p>
        </w:tc>
        <w:tc>
          <w:tcPr>
            <w:tcW w:w="2087" w:type="dxa"/>
            <w:tcBorders>
              <w:top w:val="single" w:color="auto" w:sz="4" w:space="0"/>
              <w:left w:val="single" w:color="auto" w:sz="4" w:space="0"/>
              <w:bottom w:val="single" w:color="auto" w:sz="4" w:space="0"/>
              <w:right w:val="single" w:color="auto" w:sz="4" w:space="0"/>
            </w:tcBorders>
            <w:vAlign w:val="center"/>
          </w:tcPr>
          <w:p w14:paraId="4EAC7507">
            <w:pPr>
              <w:spacing w:line="360" w:lineRule="auto"/>
              <w:rPr>
                <w:rFonts w:ascii="宋体" w:hAnsi="宋体" w:cs="仿宋_GB2312"/>
                <w:szCs w:val="21"/>
              </w:rPr>
            </w:pPr>
          </w:p>
        </w:tc>
      </w:tr>
      <w:tr w14:paraId="61549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5CED82FA">
            <w:pPr>
              <w:spacing w:before="50" w:after="50" w:line="360" w:lineRule="auto"/>
              <w:rPr>
                <w:rFonts w:ascii="宋体" w:hAnsi="宋体" w:cs="仿宋_GB2312"/>
                <w:szCs w:val="21"/>
              </w:rPr>
            </w:pPr>
            <w:r>
              <w:rPr>
                <w:rFonts w:hint="eastAsia" w:ascii="宋体" w:hAnsi="宋体" w:cs="仿宋_GB2312"/>
                <w:szCs w:val="21"/>
              </w:rPr>
              <w:t>合计金额大写：人民币</w:t>
            </w:r>
            <w:r>
              <w:rPr>
                <w:rFonts w:hint="eastAsia" w:ascii="宋体" w:hAnsi="宋体" w:cs="仿宋_GB2312"/>
                <w:szCs w:val="21"/>
                <w:u w:val="single"/>
              </w:rPr>
              <w:t xml:space="preserve">               </w:t>
            </w:r>
            <w:r>
              <w:rPr>
                <w:rFonts w:hint="eastAsia" w:ascii="宋体" w:hAnsi="宋体" w:cs="仿宋_GB2312"/>
                <w:szCs w:val="21"/>
              </w:rPr>
              <w:t>（¥</w:t>
            </w:r>
            <w:r>
              <w:rPr>
                <w:rFonts w:hint="eastAsia" w:ascii="宋体" w:hAnsi="宋体" w:cs="仿宋_GB2312"/>
                <w:szCs w:val="21"/>
                <w:u w:val="single"/>
              </w:rPr>
              <w:t xml:space="preserve">              </w:t>
            </w:r>
            <w:r>
              <w:rPr>
                <w:rFonts w:hint="eastAsia" w:ascii="宋体" w:hAnsi="宋体" w:cs="仿宋_GB2312"/>
                <w:szCs w:val="21"/>
              </w:rPr>
              <w:t>）</w:t>
            </w:r>
          </w:p>
        </w:tc>
      </w:tr>
    </w:tbl>
    <w:p w14:paraId="73486D3C">
      <w:pPr>
        <w:spacing w:line="300" w:lineRule="auto"/>
        <w:rPr>
          <w:rFonts w:ascii="宋体" w:hAnsi="宋体" w:cs="宋体"/>
          <w:szCs w:val="21"/>
        </w:rPr>
      </w:pPr>
      <w:r>
        <w:rPr>
          <w:rFonts w:hint="eastAsia" w:ascii="宋体" w:hAnsi="宋体" w:cs="宋体"/>
          <w:szCs w:val="21"/>
          <w:u w:val="single"/>
        </w:rPr>
        <w:t xml:space="preserve">      </w:t>
      </w:r>
    </w:p>
    <w:p w14:paraId="529F7F3E">
      <w:pPr>
        <w:spacing w:line="360" w:lineRule="auto"/>
        <w:rPr>
          <w:rFonts w:ascii="宋体" w:hAnsi="宋体" w:cs="宋体"/>
          <w:szCs w:val="21"/>
        </w:rPr>
      </w:pPr>
      <w:r>
        <w:rPr>
          <w:rFonts w:hint="eastAsia" w:ascii="宋体" w:hAnsi="宋体" w:cs="宋体"/>
          <w:szCs w:val="21"/>
        </w:rPr>
        <w:t>注：1、所有价格均用人民币表示，单位为元，精确到小数点后两位数。</w:t>
      </w:r>
    </w:p>
    <w:p w14:paraId="1B42B99B">
      <w:pPr>
        <w:spacing w:line="360" w:lineRule="auto"/>
        <w:ind w:firstLine="420" w:firstLineChars="200"/>
        <w:rPr>
          <w:rFonts w:ascii="宋体" w:hAnsi="宋体" w:cs="宋体"/>
          <w:szCs w:val="21"/>
        </w:rPr>
      </w:pPr>
      <w:r>
        <w:rPr>
          <w:rFonts w:hint="eastAsia" w:ascii="宋体" w:hAnsi="宋体" w:cs="宋体"/>
          <w:szCs w:val="21"/>
        </w:rPr>
        <w:t>2、供应商应综合考虑其成本和报价，途中不追加任何费用，</w:t>
      </w:r>
      <w:r>
        <w:rPr>
          <w:rFonts w:hint="eastAsia" w:ascii="宋体" w:hAnsi="宋体" w:cs="宋体"/>
          <w:spacing w:val="-6"/>
          <w:szCs w:val="21"/>
        </w:rPr>
        <w:t>磋商报价</w:t>
      </w:r>
      <w:r>
        <w:rPr>
          <w:rFonts w:hint="eastAsia" w:ascii="宋体" w:hAnsi="宋体" w:cs="宋体"/>
          <w:szCs w:val="21"/>
        </w:rPr>
        <w:t>为供应商完成本项目包含采购人需求及要求所有内容的全部费用。</w:t>
      </w:r>
    </w:p>
    <w:p w14:paraId="05E0066C">
      <w:pPr>
        <w:pStyle w:val="28"/>
        <w:tabs>
          <w:tab w:val="left" w:pos="2100"/>
        </w:tabs>
        <w:rPr>
          <w:rFonts w:hAnsi="宋体" w:cs="宋体"/>
          <w:sz w:val="21"/>
        </w:rPr>
      </w:pPr>
      <w:r>
        <w:rPr>
          <w:rFonts w:hint="eastAsia" w:hAnsi="宋体" w:cs="宋体"/>
          <w:sz w:val="21"/>
        </w:rPr>
        <w:tab/>
      </w:r>
    </w:p>
    <w:p w14:paraId="4341D7F6">
      <w:pPr>
        <w:pStyle w:val="28"/>
        <w:rPr>
          <w:rFonts w:hAnsi="宋体" w:cs="宋体"/>
          <w:sz w:val="21"/>
        </w:rPr>
      </w:pPr>
    </w:p>
    <w:p w14:paraId="4BA92890">
      <w:pPr>
        <w:pStyle w:val="28"/>
        <w:rPr>
          <w:rFonts w:hAnsi="宋体" w:cs="宋体"/>
          <w:sz w:val="21"/>
        </w:rPr>
      </w:pPr>
      <w:r>
        <w:rPr>
          <w:rFonts w:hint="eastAsia" w:hAnsi="宋体" w:cs="宋体"/>
          <w:sz w:val="21"/>
        </w:rPr>
        <w:t>供应商（公章）：</w:t>
      </w:r>
      <w:r>
        <w:rPr>
          <w:rFonts w:hint="eastAsia" w:hAnsi="宋体" w:cs="宋体"/>
          <w:sz w:val="21"/>
          <w:u w:val="single"/>
        </w:rPr>
        <w:t xml:space="preserve">                               </w:t>
      </w:r>
    </w:p>
    <w:p w14:paraId="5C924012">
      <w:pPr>
        <w:pStyle w:val="28"/>
        <w:rPr>
          <w:rFonts w:hAnsi="宋体" w:cs="宋体"/>
          <w:sz w:val="21"/>
        </w:rPr>
      </w:pPr>
    </w:p>
    <w:p w14:paraId="32A613DA">
      <w:pPr>
        <w:pStyle w:val="28"/>
        <w:rPr>
          <w:rFonts w:hAnsi="宋体" w:cs="宋体"/>
          <w:sz w:val="21"/>
          <w:u w:val="single"/>
        </w:rPr>
      </w:pPr>
      <w:r>
        <w:rPr>
          <w:rFonts w:hint="eastAsia" w:hAnsi="宋体" w:cs="宋体"/>
          <w:sz w:val="21"/>
        </w:rPr>
        <w:t>法定代表人或委托代理人签字：</w:t>
      </w:r>
      <w:r>
        <w:rPr>
          <w:rFonts w:hint="eastAsia" w:hAnsi="宋体" w:cs="宋体"/>
          <w:sz w:val="21"/>
          <w:u w:val="single"/>
        </w:rPr>
        <w:t xml:space="preserve">                   </w:t>
      </w:r>
    </w:p>
    <w:p w14:paraId="5CBD9913">
      <w:pPr>
        <w:pStyle w:val="28"/>
        <w:rPr>
          <w:rFonts w:hAnsi="宋体" w:cs="宋体"/>
          <w:sz w:val="21"/>
          <w:u w:val="single"/>
        </w:rPr>
      </w:pPr>
    </w:p>
    <w:p w14:paraId="7CD4DB24">
      <w:pPr>
        <w:pStyle w:val="28"/>
        <w:rPr>
          <w:rFonts w:hAnsi="宋体" w:cs="宋体"/>
          <w:sz w:val="21"/>
        </w:rPr>
      </w:pPr>
      <w:r>
        <w:rPr>
          <w:rFonts w:hint="eastAsia" w:hAnsi="宋体" w:cs="宋体"/>
          <w:sz w:val="21"/>
        </w:rPr>
        <w:t>日期：    年   月  日</w:t>
      </w:r>
      <w:r>
        <w:rPr>
          <w:rFonts w:hint="eastAsia" w:hAnsi="宋体" w:cs="宋体"/>
          <w:sz w:val="21"/>
          <w:u w:val="single"/>
        </w:rPr>
        <w:t xml:space="preserve">                           </w:t>
      </w:r>
    </w:p>
    <w:p w14:paraId="4A11BF97">
      <w:pPr>
        <w:rPr>
          <w:rFonts w:ascii="宋体" w:hAnsi="宋体" w:cs="宋体"/>
        </w:rPr>
      </w:pPr>
      <w:bookmarkStart w:id="40" w:name="_Toc356979893"/>
      <w:bookmarkStart w:id="41" w:name="_Toc356165644"/>
    </w:p>
    <w:p w14:paraId="410A520E">
      <w:pPr>
        <w:spacing w:line="300" w:lineRule="auto"/>
        <w:jc w:val="center"/>
        <w:rPr>
          <w:rFonts w:ascii="宋体" w:hAnsi="宋体" w:cs="宋体"/>
        </w:rPr>
      </w:pPr>
      <w:r>
        <w:rPr>
          <w:rFonts w:hint="eastAsia" w:ascii="宋体" w:hAnsi="宋体" w:cs="宋体"/>
        </w:rPr>
        <w:br w:type="page"/>
      </w:r>
      <w:bookmarkEnd w:id="40"/>
      <w:bookmarkEnd w:id="41"/>
    </w:p>
    <w:p w14:paraId="451BA64F">
      <w:pPr>
        <w:spacing w:line="300" w:lineRule="auto"/>
        <w:jc w:val="center"/>
        <w:rPr>
          <w:rFonts w:ascii="宋体" w:hAnsi="宋体" w:cs="宋体"/>
        </w:rPr>
      </w:pPr>
    </w:p>
    <w:p w14:paraId="06364B86">
      <w:pPr>
        <w:spacing w:line="300" w:lineRule="auto"/>
        <w:jc w:val="center"/>
        <w:rPr>
          <w:rFonts w:ascii="宋体" w:hAnsi="宋体" w:cs="宋体"/>
          <w:b/>
          <w:sz w:val="32"/>
          <w:szCs w:val="32"/>
        </w:rPr>
      </w:pPr>
      <w:r>
        <w:rPr>
          <w:rFonts w:hint="eastAsia" w:ascii="宋体" w:hAnsi="宋体" w:cs="宋体"/>
          <w:b/>
          <w:sz w:val="32"/>
          <w:szCs w:val="32"/>
        </w:rPr>
        <w:t>报 价 表</w:t>
      </w:r>
    </w:p>
    <w:p w14:paraId="53C95D41">
      <w:pPr>
        <w:spacing w:line="30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0E4FE475">
      <w:pPr>
        <w:spacing w:line="300" w:lineRule="auto"/>
        <w:rPr>
          <w:rFonts w:ascii="宋体" w:hAnsi="宋体" w:cs="宋体"/>
          <w:szCs w:val="21"/>
        </w:rPr>
      </w:pPr>
      <w:r>
        <w:rPr>
          <w:rFonts w:hint="eastAsia" w:ascii="宋体" w:hAnsi="宋体" w:cs="宋体"/>
          <w:szCs w:val="21"/>
        </w:rPr>
        <w:t>项目名称:</w:t>
      </w:r>
    </w:p>
    <w:p w14:paraId="000AE672">
      <w:pPr>
        <w:spacing w:line="300" w:lineRule="auto"/>
        <w:rPr>
          <w:rFonts w:ascii="宋体" w:hAnsi="宋体" w:cs="宋体"/>
          <w:szCs w:val="21"/>
        </w:rPr>
      </w:pPr>
      <w:r>
        <w:rPr>
          <w:rFonts w:hint="eastAsia" w:ascii="宋体" w:hAnsi="宋体" w:cs="宋体"/>
          <w:szCs w:val="21"/>
        </w:rPr>
        <w:t>分标（如有）：</w:t>
      </w:r>
    </w:p>
    <w:tbl>
      <w:tblPr>
        <w:tblStyle w:val="54"/>
        <w:tblW w:w="9520"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2"/>
        <w:gridCol w:w="3016"/>
        <w:gridCol w:w="3405"/>
        <w:gridCol w:w="2087"/>
      </w:tblGrid>
      <w:tr w14:paraId="39F9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385EE5A">
            <w:pPr>
              <w:spacing w:line="360" w:lineRule="auto"/>
              <w:jc w:val="center"/>
              <w:rPr>
                <w:rFonts w:ascii="宋体" w:hAnsi="宋体" w:cs="仿宋_GB2312"/>
                <w:szCs w:val="21"/>
              </w:rPr>
            </w:pPr>
            <w:r>
              <w:rPr>
                <w:rFonts w:ascii="宋体" w:hAnsi="宋体" w:cs="仿宋_GB2312"/>
                <w:szCs w:val="21"/>
              </w:rPr>
              <w:t>序号</w:t>
            </w:r>
          </w:p>
        </w:tc>
        <w:tc>
          <w:tcPr>
            <w:tcW w:w="3016" w:type="dxa"/>
            <w:tcBorders>
              <w:top w:val="single" w:color="auto" w:sz="4" w:space="0"/>
              <w:left w:val="single" w:color="auto" w:sz="4" w:space="0"/>
              <w:bottom w:val="single" w:color="auto" w:sz="4" w:space="0"/>
              <w:right w:val="single" w:color="auto" w:sz="4" w:space="0"/>
            </w:tcBorders>
            <w:vAlign w:val="center"/>
          </w:tcPr>
          <w:p w14:paraId="0E3346D4">
            <w:pPr>
              <w:spacing w:line="360" w:lineRule="auto"/>
              <w:jc w:val="center"/>
              <w:rPr>
                <w:rFonts w:ascii="宋体" w:hAnsi="宋体" w:cs="仿宋_GB2312"/>
                <w:szCs w:val="21"/>
              </w:rPr>
            </w:pPr>
            <w:r>
              <w:rPr>
                <w:rFonts w:hint="eastAsia" w:ascii="宋体" w:hAnsi="宋体"/>
                <w:b/>
                <w:szCs w:val="21"/>
              </w:rPr>
              <w:t>标的名称</w:t>
            </w:r>
          </w:p>
        </w:tc>
        <w:tc>
          <w:tcPr>
            <w:tcW w:w="3405" w:type="dxa"/>
            <w:tcBorders>
              <w:top w:val="single" w:color="auto" w:sz="4" w:space="0"/>
              <w:left w:val="single" w:color="auto" w:sz="4" w:space="0"/>
              <w:bottom w:val="single" w:color="auto" w:sz="4" w:space="0"/>
              <w:right w:val="single" w:color="auto" w:sz="4" w:space="0"/>
            </w:tcBorders>
            <w:vAlign w:val="center"/>
          </w:tcPr>
          <w:p w14:paraId="4E72D012">
            <w:pPr>
              <w:spacing w:line="360" w:lineRule="auto"/>
              <w:jc w:val="center"/>
              <w:rPr>
                <w:rFonts w:ascii="宋体" w:hAnsi="宋体" w:cs="仿宋_GB2312"/>
                <w:szCs w:val="21"/>
              </w:rPr>
            </w:pPr>
            <w:r>
              <w:rPr>
                <w:rFonts w:hint="eastAsia" w:ascii="宋体" w:hAnsi="宋体" w:cs="仿宋_GB2312"/>
                <w:szCs w:val="21"/>
              </w:rPr>
              <w:t>元</w:t>
            </w:r>
          </w:p>
        </w:tc>
        <w:tc>
          <w:tcPr>
            <w:tcW w:w="2087" w:type="dxa"/>
            <w:tcBorders>
              <w:top w:val="single" w:color="auto" w:sz="4" w:space="0"/>
              <w:left w:val="single" w:color="auto" w:sz="4" w:space="0"/>
              <w:bottom w:val="single" w:color="auto" w:sz="4" w:space="0"/>
              <w:right w:val="single" w:color="auto" w:sz="4" w:space="0"/>
            </w:tcBorders>
            <w:vAlign w:val="center"/>
          </w:tcPr>
          <w:p w14:paraId="057AFBF7">
            <w:pPr>
              <w:spacing w:line="360" w:lineRule="auto"/>
              <w:jc w:val="center"/>
              <w:rPr>
                <w:rFonts w:ascii="宋体" w:hAnsi="宋体" w:cs="仿宋_GB2312"/>
                <w:szCs w:val="21"/>
              </w:rPr>
            </w:pPr>
            <w:r>
              <w:rPr>
                <w:rFonts w:hint="eastAsia" w:ascii="宋体" w:hAnsi="宋体" w:cs="仿宋_GB2312"/>
                <w:szCs w:val="21"/>
              </w:rPr>
              <w:t>服务期限</w:t>
            </w:r>
          </w:p>
        </w:tc>
      </w:tr>
      <w:tr w14:paraId="4BE3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0910E898">
            <w:pPr>
              <w:spacing w:line="360" w:lineRule="auto"/>
              <w:jc w:val="center"/>
              <w:rPr>
                <w:rFonts w:ascii="宋体" w:hAnsi="宋体" w:cs="仿宋_GB2312"/>
                <w:szCs w:val="21"/>
              </w:rPr>
            </w:pPr>
            <w:r>
              <w:rPr>
                <w:rFonts w:ascii="宋体" w:hAnsi="宋体" w:cs="仿宋_GB2312"/>
                <w:szCs w:val="21"/>
              </w:rPr>
              <w:t>1</w:t>
            </w:r>
          </w:p>
        </w:tc>
        <w:tc>
          <w:tcPr>
            <w:tcW w:w="3016" w:type="dxa"/>
            <w:tcBorders>
              <w:top w:val="single" w:color="auto" w:sz="4" w:space="0"/>
              <w:left w:val="single" w:color="auto" w:sz="4" w:space="0"/>
              <w:bottom w:val="single" w:color="auto" w:sz="4" w:space="0"/>
              <w:right w:val="single" w:color="auto" w:sz="4" w:space="0"/>
            </w:tcBorders>
            <w:vAlign w:val="center"/>
          </w:tcPr>
          <w:p w14:paraId="6842E450">
            <w:pPr>
              <w:spacing w:line="360" w:lineRule="auto"/>
              <w:jc w:val="center"/>
              <w:rPr>
                <w:rFonts w:ascii="宋体" w:hAnsi="宋体" w:cs="仿宋_GB2312"/>
                <w:szCs w:val="21"/>
              </w:rPr>
            </w:pPr>
            <w:r>
              <w:rPr>
                <w:rFonts w:ascii="宋体" w:hAnsi="宋体"/>
                <w:szCs w:val="21"/>
              </w:rPr>
              <w:t>场地使用费</w:t>
            </w:r>
          </w:p>
        </w:tc>
        <w:tc>
          <w:tcPr>
            <w:tcW w:w="3405" w:type="dxa"/>
            <w:tcBorders>
              <w:top w:val="single" w:color="auto" w:sz="4" w:space="0"/>
              <w:left w:val="single" w:color="auto" w:sz="4" w:space="0"/>
              <w:bottom w:val="single" w:color="auto" w:sz="4" w:space="0"/>
              <w:right w:val="single" w:color="auto" w:sz="4" w:space="0"/>
            </w:tcBorders>
          </w:tcPr>
          <w:p w14:paraId="46AF0CAF">
            <w:pPr>
              <w:spacing w:line="360" w:lineRule="auto"/>
              <w:rPr>
                <w:rFonts w:ascii="宋体" w:hAnsi="宋体" w:cs="仿宋_GB2312"/>
                <w:szCs w:val="21"/>
              </w:rPr>
            </w:pPr>
          </w:p>
        </w:tc>
        <w:tc>
          <w:tcPr>
            <w:tcW w:w="2087" w:type="dxa"/>
            <w:tcBorders>
              <w:top w:val="single" w:color="auto" w:sz="4" w:space="0"/>
              <w:left w:val="single" w:color="auto" w:sz="4" w:space="0"/>
              <w:bottom w:val="single" w:color="auto" w:sz="4" w:space="0"/>
              <w:right w:val="single" w:color="auto" w:sz="4" w:space="0"/>
            </w:tcBorders>
            <w:vAlign w:val="center"/>
          </w:tcPr>
          <w:p w14:paraId="7AC33233">
            <w:pPr>
              <w:spacing w:line="360" w:lineRule="auto"/>
              <w:rPr>
                <w:rFonts w:ascii="宋体" w:hAnsi="宋体" w:cs="仿宋_GB2312"/>
                <w:szCs w:val="21"/>
              </w:rPr>
            </w:pPr>
          </w:p>
        </w:tc>
      </w:tr>
      <w:tr w14:paraId="1ED4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35907357">
            <w:pPr>
              <w:spacing w:line="360" w:lineRule="auto"/>
              <w:jc w:val="center"/>
              <w:rPr>
                <w:rFonts w:ascii="宋体" w:hAnsi="宋体" w:cs="仿宋_GB2312"/>
                <w:szCs w:val="21"/>
              </w:rPr>
            </w:pPr>
            <w:r>
              <w:rPr>
                <w:rFonts w:hint="eastAsia" w:ascii="宋体" w:hAnsi="宋体"/>
                <w:b/>
                <w:szCs w:val="21"/>
              </w:rPr>
              <w:t>……</w:t>
            </w:r>
          </w:p>
        </w:tc>
        <w:tc>
          <w:tcPr>
            <w:tcW w:w="3016" w:type="dxa"/>
            <w:tcBorders>
              <w:top w:val="single" w:color="auto" w:sz="4" w:space="0"/>
              <w:left w:val="single" w:color="auto" w:sz="4" w:space="0"/>
              <w:bottom w:val="single" w:color="auto" w:sz="4" w:space="0"/>
              <w:right w:val="single" w:color="auto" w:sz="4" w:space="0"/>
            </w:tcBorders>
            <w:vAlign w:val="center"/>
          </w:tcPr>
          <w:p w14:paraId="0A64E859">
            <w:pPr>
              <w:spacing w:line="360" w:lineRule="auto"/>
              <w:rPr>
                <w:rFonts w:ascii="宋体" w:hAnsi="宋体" w:cs="仿宋_GB2312"/>
                <w:szCs w:val="21"/>
              </w:rPr>
            </w:pPr>
            <w:r>
              <w:rPr>
                <w:rFonts w:hint="eastAsia" w:ascii="宋体" w:hAnsi="宋体"/>
                <w:b/>
                <w:szCs w:val="21"/>
              </w:rPr>
              <w:t>……</w:t>
            </w:r>
          </w:p>
        </w:tc>
        <w:tc>
          <w:tcPr>
            <w:tcW w:w="3405" w:type="dxa"/>
            <w:tcBorders>
              <w:top w:val="single" w:color="auto" w:sz="4" w:space="0"/>
              <w:left w:val="single" w:color="auto" w:sz="4" w:space="0"/>
              <w:bottom w:val="single" w:color="auto" w:sz="4" w:space="0"/>
              <w:right w:val="single" w:color="auto" w:sz="4" w:space="0"/>
            </w:tcBorders>
          </w:tcPr>
          <w:p w14:paraId="3156DB41">
            <w:pPr>
              <w:spacing w:line="360" w:lineRule="auto"/>
              <w:rPr>
                <w:rFonts w:ascii="宋体" w:hAnsi="宋体" w:cs="仿宋_GB2312"/>
                <w:szCs w:val="21"/>
              </w:rPr>
            </w:pPr>
          </w:p>
        </w:tc>
        <w:tc>
          <w:tcPr>
            <w:tcW w:w="2087" w:type="dxa"/>
            <w:tcBorders>
              <w:top w:val="single" w:color="auto" w:sz="4" w:space="0"/>
              <w:left w:val="single" w:color="auto" w:sz="4" w:space="0"/>
              <w:bottom w:val="single" w:color="auto" w:sz="4" w:space="0"/>
              <w:right w:val="single" w:color="auto" w:sz="4" w:space="0"/>
            </w:tcBorders>
            <w:vAlign w:val="center"/>
          </w:tcPr>
          <w:p w14:paraId="12472B7C">
            <w:pPr>
              <w:spacing w:line="360" w:lineRule="auto"/>
              <w:rPr>
                <w:rFonts w:ascii="宋体" w:hAnsi="宋体" w:cs="仿宋_GB2312"/>
                <w:szCs w:val="21"/>
              </w:rPr>
            </w:pPr>
          </w:p>
        </w:tc>
      </w:tr>
      <w:tr w14:paraId="02B5D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7" w:hRule="atLeast"/>
          <w:jc w:val="right"/>
        </w:trPr>
        <w:tc>
          <w:tcPr>
            <w:tcW w:w="9520" w:type="dxa"/>
            <w:gridSpan w:val="4"/>
            <w:tcBorders>
              <w:top w:val="single" w:color="auto" w:sz="4" w:space="0"/>
              <w:left w:val="single" w:color="auto" w:sz="4" w:space="0"/>
              <w:bottom w:val="single" w:color="auto" w:sz="4" w:space="0"/>
              <w:right w:val="single" w:color="auto" w:sz="4" w:space="0"/>
            </w:tcBorders>
            <w:vAlign w:val="center"/>
          </w:tcPr>
          <w:p w14:paraId="5B88BA1C">
            <w:pPr>
              <w:spacing w:before="50" w:after="50" w:line="360" w:lineRule="auto"/>
              <w:rPr>
                <w:rFonts w:ascii="宋体" w:hAnsi="宋体" w:cs="仿宋_GB2312"/>
                <w:szCs w:val="21"/>
              </w:rPr>
            </w:pPr>
            <w:r>
              <w:rPr>
                <w:rFonts w:hint="eastAsia" w:ascii="宋体" w:hAnsi="宋体" w:cs="仿宋_GB2312"/>
                <w:szCs w:val="21"/>
              </w:rPr>
              <w:t>合计金额大写：人民币</w:t>
            </w:r>
            <w:r>
              <w:rPr>
                <w:rFonts w:hint="eastAsia" w:ascii="宋体" w:hAnsi="宋体" w:cs="仿宋_GB2312"/>
                <w:szCs w:val="21"/>
                <w:u w:val="single"/>
              </w:rPr>
              <w:t xml:space="preserve">           </w:t>
            </w:r>
            <w:r>
              <w:rPr>
                <w:rFonts w:hint="eastAsia" w:ascii="宋体" w:hAnsi="宋体" w:cs="仿宋_GB2312"/>
                <w:szCs w:val="21"/>
              </w:rPr>
              <w:t>（¥</w:t>
            </w:r>
            <w:r>
              <w:rPr>
                <w:rFonts w:hint="eastAsia" w:ascii="宋体" w:hAnsi="宋体" w:cs="仿宋_GB2312"/>
                <w:szCs w:val="21"/>
                <w:u w:val="single"/>
              </w:rPr>
              <w:t xml:space="preserve">           </w:t>
            </w:r>
            <w:r>
              <w:rPr>
                <w:rFonts w:hint="eastAsia" w:ascii="宋体" w:hAnsi="宋体" w:cs="仿宋_GB2312"/>
                <w:szCs w:val="21"/>
              </w:rPr>
              <w:t>）</w:t>
            </w:r>
          </w:p>
        </w:tc>
      </w:tr>
    </w:tbl>
    <w:p w14:paraId="6B89D3D3">
      <w:pPr>
        <w:spacing w:line="300" w:lineRule="auto"/>
        <w:rPr>
          <w:rFonts w:ascii="宋体" w:hAnsi="宋体" w:cs="宋体"/>
          <w:szCs w:val="21"/>
        </w:rPr>
      </w:pPr>
      <w:r>
        <w:rPr>
          <w:rFonts w:hint="eastAsia" w:ascii="宋体" w:hAnsi="宋体" w:cs="宋体"/>
          <w:szCs w:val="21"/>
          <w:u w:val="single"/>
        </w:rPr>
        <w:t xml:space="preserve">      </w:t>
      </w:r>
    </w:p>
    <w:p w14:paraId="4CF28380">
      <w:pPr>
        <w:spacing w:line="360" w:lineRule="auto"/>
        <w:rPr>
          <w:rFonts w:ascii="宋体" w:hAnsi="宋体" w:cs="宋体"/>
          <w:szCs w:val="21"/>
        </w:rPr>
      </w:pPr>
      <w:r>
        <w:rPr>
          <w:rFonts w:hint="eastAsia" w:ascii="宋体" w:hAnsi="宋体" w:cs="宋体"/>
          <w:szCs w:val="21"/>
        </w:rPr>
        <w:t>注：1、所有价格均用人民币表示，单位为元，精确到小数点后两位数。</w:t>
      </w:r>
    </w:p>
    <w:p w14:paraId="6C3EEBCA">
      <w:pPr>
        <w:spacing w:line="360" w:lineRule="auto"/>
        <w:ind w:firstLine="420" w:firstLineChars="200"/>
        <w:rPr>
          <w:rFonts w:ascii="宋体" w:hAnsi="宋体" w:cs="宋体"/>
          <w:szCs w:val="21"/>
        </w:rPr>
      </w:pPr>
      <w:r>
        <w:rPr>
          <w:rFonts w:hint="eastAsia" w:ascii="宋体" w:hAnsi="宋体" w:cs="宋体"/>
          <w:szCs w:val="21"/>
        </w:rPr>
        <w:t>2、供应商应综合考虑其成本和报价，途中不追加任何费用，</w:t>
      </w:r>
      <w:r>
        <w:rPr>
          <w:rFonts w:hint="eastAsia" w:ascii="宋体" w:hAnsi="宋体" w:cs="宋体"/>
          <w:spacing w:val="-6"/>
          <w:szCs w:val="21"/>
        </w:rPr>
        <w:t>磋商报价</w:t>
      </w:r>
      <w:r>
        <w:rPr>
          <w:rFonts w:hint="eastAsia" w:ascii="宋体" w:hAnsi="宋体" w:cs="宋体"/>
          <w:szCs w:val="21"/>
        </w:rPr>
        <w:t>为供应商完成本项目包含采购人需求及要求所有内容的全部费用。</w:t>
      </w:r>
    </w:p>
    <w:p w14:paraId="6AD2AD3A">
      <w:pPr>
        <w:pStyle w:val="28"/>
        <w:tabs>
          <w:tab w:val="left" w:pos="2100"/>
        </w:tabs>
        <w:rPr>
          <w:rFonts w:hAnsi="宋体" w:cs="宋体"/>
          <w:sz w:val="21"/>
        </w:rPr>
      </w:pPr>
      <w:r>
        <w:rPr>
          <w:rFonts w:hint="eastAsia" w:hAnsi="宋体" w:cs="宋体"/>
          <w:sz w:val="21"/>
        </w:rPr>
        <w:tab/>
      </w:r>
    </w:p>
    <w:p w14:paraId="1A5429C0">
      <w:pPr>
        <w:pStyle w:val="28"/>
        <w:rPr>
          <w:rFonts w:hAnsi="宋体" w:cs="宋体"/>
          <w:sz w:val="21"/>
        </w:rPr>
      </w:pPr>
    </w:p>
    <w:p w14:paraId="4DF23E5B">
      <w:pPr>
        <w:pStyle w:val="28"/>
        <w:rPr>
          <w:rFonts w:hAnsi="宋体" w:cs="宋体"/>
          <w:sz w:val="21"/>
        </w:rPr>
      </w:pPr>
      <w:r>
        <w:rPr>
          <w:rFonts w:hint="eastAsia" w:hAnsi="宋体" w:cs="宋体"/>
          <w:sz w:val="21"/>
        </w:rPr>
        <w:t>供应商（公章）：</w:t>
      </w:r>
      <w:r>
        <w:rPr>
          <w:rFonts w:hint="eastAsia" w:hAnsi="宋体" w:cs="宋体"/>
          <w:sz w:val="21"/>
          <w:u w:val="single"/>
        </w:rPr>
        <w:t xml:space="preserve">                               </w:t>
      </w:r>
    </w:p>
    <w:p w14:paraId="3FF309EF">
      <w:pPr>
        <w:pStyle w:val="28"/>
        <w:rPr>
          <w:rFonts w:hAnsi="宋体" w:cs="宋体"/>
          <w:sz w:val="21"/>
        </w:rPr>
      </w:pPr>
    </w:p>
    <w:p w14:paraId="1F3759C9">
      <w:pPr>
        <w:pStyle w:val="28"/>
        <w:rPr>
          <w:rFonts w:hAnsi="宋体" w:cs="宋体"/>
          <w:sz w:val="21"/>
          <w:u w:val="single"/>
        </w:rPr>
      </w:pPr>
      <w:r>
        <w:rPr>
          <w:rFonts w:hint="eastAsia" w:hAnsi="宋体" w:cs="宋体"/>
          <w:sz w:val="21"/>
        </w:rPr>
        <w:t>法定代表人或委托代理人签字：</w:t>
      </w:r>
      <w:r>
        <w:rPr>
          <w:rFonts w:hint="eastAsia" w:hAnsi="宋体" w:cs="宋体"/>
          <w:sz w:val="21"/>
          <w:u w:val="single"/>
        </w:rPr>
        <w:t xml:space="preserve">                   </w:t>
      </w:r>
    </w:p>
    <w:p w14:paraId="48348B4C">
      <w:pPr>
        <w:pStyle w:val="28"/>
        <w:rPr>
          <w:rFonts w:hAnsi="宋体" w:cs="宋体"/>
          <w:sz w:val="21"/>
          <w:u w:val="single"/>
        </w:rPr>
      </w:pPr>
    </w:p>
    <w:p w14:paraId="1470F012">
      <w:pPr>
        <w:pStyle w:val="28"/>
        <w:rPr>
          <w:rFonts w:hAnsi="宋体" w:cs="宋体"/>
          <w:sz w:val="21"/>
        </w:rPr>
      </w:pPr>
      <w:r>
        <w:rPr>
          <w:rFonts w:hint="eastAsia" w:hAnsi="宋体" w:cs="宋体"/>
          <w:sz w:val="21"/>
        </w:rPr>
        <w:t>日期：    年   月  日</w:t>
      </w:r>
      <w:r>
        <w:rPr>
          <w:rFonts w:hint="eastAsia" w:hAnsi="宋体" w:cs="宋体"/>
          <w:sz w:val="21"/>
          <w:u w:val="single"/>
        </w:rPr>
        <w:t xml:space="preserve">                           </w:t>
      </w:r>
    </w:p>
    <w:p w14:paraId="187BE38F">
      <w:pPr>
        <w:rPr>
          <w:rFonts w:ascii="宋体" w:hAnsi="宋体" w:cs="宋体"/>
        </w:rPr>
      </w:pPr>
    </w:p>
    <w:p w14:paraId="70851EBF">
      <w:pPr>
        <w:spacing w:line="300" w:lineRule="auto"/>
        <w:jc w:val="center"/>
        <w:rPr>
          <w:rFonts w:ascii="宋体" w:hAnsi="宋体" w:cs="宋体"/>
        </w:rPr>
      </w:pPr>
      <w:r>
        <w:rPr>
          <w:rFonts w:hint="eastAsia" w:ascii="宋体" w:hAnsi="宋体" w:cs="宋体"/>
        </w:rPr>
        <w:br w:type="page"/>
      </w:r>
    </w:p>
    <w:p w14:paraId="13383187">
      <w:pPr>
        <w:spacing w:line="300" w:lineRule="auto"/>
        <w:jc w:val="center"/>
        <w:rPr>
          <w:rFonts w:ascii="宋体" w:hAnsi="宋体" w:cs="宋体"/>
        </w:rPr>
      </w:pPr>
    </w:p>
    <w:p w14:paraId="57FE7AD2">
      <w:pPr>
        <w:spacing w:line="300" w:lineRule="auto"/>
        <w:jc w:val="center"/>
        <w:rPr>
          <w:rFonts w:ascii="宋体" w:hAnsi="宋体" w:cs="宋体"/>
          <w:b/>
          <w:sz w:val="32"/>
          <w:szCs w:val="32"/>
        </w:rPr>
      </w:pPr>
      <w:r>
        <w:rPr>
          <w:rFonts w:hint="eastAsia" w:ascii="宋体" w:hAnsi="宋体" w:cs="宋体"/>
          <w:b/>
          <w:sz w:val="32"/>
          <w:szCs w:val="32"/>
        </w:rPr>
        <w:t>服务偏离情况说明表（格式）</w:t>
      </w:r>
    </w:p>
    <w:p w14:paraId="57DC552D">
      <w:pPr>
        <w:spacing w:line="300" w:lineRule="auto"/>
        <w:rPr>
          <w:rFonts w:ascii="宋体" w:hAnsi="宋体" w:cs="宋体"/>
          <w:szCs w:val="21"/>
        </w:rPr>
      </w:pPr>
    </w:p>
    <w:p w14:paraId="24DF826A">
      <w:pPr>
        <w:spacing w:line="30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656D2CDD">
      <w:pPr>
        <w:spacing w:before="50" w:line="440" w:lineRule="exact"/>
        <w:jc w:val="left"/>
        <w:rPr>
          <w:rFonts w:ascii="宋体" w:hAnsi="宋体" w:cs="宋体"/>
          <w:szCs w:val="21"/>
        </w:rPr>
      </w:pPr>
      <w:r>
        <w:rPr>
          <w:rFonts w:hint="eastAsia" w:ascii="宋体" w:hAnsi="宋体" w:cs="宋体"/>
          <w:szCs w:val="21"/>
        </w:rPr>
        <w:t>项目名称:</w:t>
      </w:r>
    </w:p>
    <w:p w14:paraId="24A39445">
      <w:pPr>
        <w:spacing w:before="50" w:line="440" w:lineRule="exact"/>
        <w:jc w:val="left"/>
        <w:rPr>
          <w:rFonts w:ascii="宋体" w:hAnsi="宋体" w:cs="宋体"/>
          <w:b/>
          <w:szCs w:val="21"/>
        </w:rPr>
      </w:pPr>
      <w:r>
        <w:rPr>
          <w:rFonts w:hint="eastAsia" w:ascii="宋体" w:hAnsi="宋体" w:cs="宋体"/>
          <w:szCs w:val="21"/>
        </w:rPr>
        <w:t>分标（如有）：</w:t>
      </w:r>
      <w:r>
        <w:rPr>
          <w:rFonts w:hint="eastAsia" w:ascii="宋体" w:hAnsi="宋体" w:cs="宋体"/>
          <w:szCs w:val="21"/>
          <w:u w:val="single"/>
        </w:rPr>
        <w:t xml:space="preserve">     </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1221"/>
        <w:gridCol w:w="2238"/>
        <w:gridCol w:w="1469"/>
        <w:gridCol w:w="2828"/>
        <w:gridCol w:w="1428"/>
      </w:tblGrid>
      <w:tr w14:paraId="4BCA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jc w:val="center"/>
        </w:trPr>
        <w:tc>
          <w:tcPr>
            <w:tcW w:w="614" w:type="dxa"/>
            <w:vMerge w:val="restart"/>
            <w:tcBorders>
              <w:top w:val="single" w:color="auto" w:sz="4" w:space="0"/>
              <w:left w:val="single" w:color="auto" w:sz="4" w:space="0"/>
              <w:bottom w:val="single" w:color="auto" w:sz="4" w:space="0"/>
              <w:right w:val="single" w:color="auto" w:sz="4" w:space="0"/>
            </w:tcBorders>
            <w:vAlign w:val="center"/>
          </w:tcPr>
          <w:p w14:paraId="09142AF7">
            <w:pPr>
              <w:rPr>
                <w:rFonts w:ascii="宋体" w:hAnsi="宋体" w:cs="宋体"/>
                <w:szCs w:val="21"/>
              </w:rPr>
            </w:pPr>
            <w:r>
              <w:rPr>
                <w:rFonts w:hint="eastAsia" w:ascii="宋体" w:hAnsi="宋体" w:cs="宋体"/>
                <w:szCs w:val="21"/>
              </w:rPr>
              <w:t>项号</w:t>
            </w:r>
          </w:p>
        </w:tc>
        <w:tc>
          <w:tcPr>
            <w:tcW w:w="3459" w:type="dxa"/>
            <w:gridSpan w:val="2"/>
            <w:tcBorders>
              <w:top w:val="single" w:color="auto" w:sz="4" w:space="0"/>
              <w:left w:val="single" w:color="auto" w:sz="4" w:space="0"/>
              <w:bottom w:val="single" w:color="auto" w:sz="4" w:space="0"/>
              <w:right w:val="single" w:color="auto" w:sz="4" w:space="0"/>
            </w:tcBorders>
            <w:vAlign w:val="center"/>
          </w:tcPr>
          <w:p w14:paraId="065FF5B6">
            <w:pPr>
              <w:jc w:val="center"/>
              <w:rPr>
                <w:rFonts w:ascii="宋体" w:hAnsi="宋体" w:cs="宋体"/>
                <w:szCs w:val="21"/>
              </w:rPr>
            </w:pPr>
            <w:r>
              <w:rPr>
                <w:rFonts w:hint="eastAsia" w:ascii="宋体" w:hAnsi="宋体" w:cs="宋体"/>
                <w:szCs w:val="21"/>
              </w:rPr>
              <w:t>采购文件需求</w:t>
            </w:r>
          </w:p>
        </w:tc>
        <w:tc>
          <w:tcPr>
            <w:tcW w:w="4297" w:type="dxa"/>
            <w:gridSpan w:val="2"/>
            <w:tcBorders>
              <w:top w:val="single" w:color="auto" w:sz="4" w:space="0"/>
              <w:left w:val="single" w:color="auto" w:sz="4" w:space="0"/>
              <w:bottom w:val="single" w:color="auto" w:sz="4" w:space="0"/>
              <w:right w:val="single" w:color="auto" w:sz="4" w:space="0"/>
            </w:tcBorders>
            <w:vAlign w:val="center"/>
          </w:tcPr>
          <w:p w14:paraId="0C9694E6">
            <w:pPr>
              <w:jc w:val="center"/>
              <w:rPr>
                <w:rFonts w:ascii="宋体" w:hAnsi="宋体" w:cs="宋体"/>
                <w:szCs w:val="21"/>
              </w:rPr>
            </w:pPr>
            <w:r>
              <w:rPr>
                <w:rFonts w:hint="eastAsia" w:ascii="宋体" w:hAnsi="宋体" w:cs="宋体"/>
                <w:szCs w:val="21"/>
              </w:rPr>
              <w:t>响应文件承诺</w:t>
            </w:r>
          </w:p>
        </w:tc>
        <w:tc>
          <w:tcPr>
            <w:tcW w:w="1428" w:type="dxa"/>
            <w:vMerge w:val="restart"/>
            <w:tcBorders>
              <w:top w:val="single" w:color="auto" w:sz="4" w:space="0"/>
              <w:left w:val="single" w:color="auto" w:sz="4" w:space="0"/>
              <w:bottom w:val="single" w:color="auto" w:sz="4" w:space="0"/>
              <w:right w:val="single" w:color="auto" w:sz="4" w:space="0"/>
            </w:tcBorders>
            <w:vAlign w:val="center"/>
          </w:tcPr>
          <w:p w14:paraId="697A0147">
            <w:pPr>
              <w:rPr>
                <w:rFonts w:ascii="宋体" w:hAnsi="宋体" w:cs="宋体"/>
                <w:szCs w:val="21"/>
              </w:rPr>
            </w:pPr>
            <w:r>
              <w:rPr>
                <w:rFonts w:hint="eastAsia" w:ascii="宋体" w:hAnsi="宋体" w:cs="宋体"/>
                <w:szCs w:val="21"/>
              </w:rPr>
              <w:t>偏离说明</w:t>
            </w:r>
          </w:p>
        </w:tc>
      </w:tr>
      <w:tr w14:paraId="17985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9"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27EC4F2">
            <w:pPr>
              <w:widowControl/>
              <w:jc w:val="left"/>
              <w:rPr>
                <w:rFonts w:ascii="宋体" w:hAnsi="宋体" w:cs="宋体"/>
                <w:szCs w:val="21"/>
              </w:rPr>
            </w:pPr>
          </w:p>
        </w:tc>
        <w:tc>
          <w:tcPr>
            <w:tcW w:w="1221" w:type="dxa"/>
            <w:tcBorders>
              <w:top w:val="single" w:color="auto" w:sz="4" w:space="0"/>
              <w:left w:val="single" w:color="auto" w:sz="4" w:space="0"/>
              <w:bottom w:val="single" w:color="auto" w:sz="4" w:space="0"/>
              <w:right w:val="single" w:color="auto" w:sz="4" w:space="0"/>
            </w:tcBorders>
            <w:vAlign w:val="center"/>
          </w:tcPr>
          <w:p w14:paraId="2F2CFA2C">
            <w:pPr>
              <w:jc w:val="center"/>
              <w:rPr>
                <w:rFonts w:ascii="宋体" w:hAnsi="宋体" w:cs="宋体"/>
                <w:szCs w:val="21"/>
              </w:rPr>
            </w:pPr>
            <w:r>
              <w:rPr>
                <w:rFonts w:hint="eastAsia" w:ascii="宋体" w:hAnsi="宋体" w:cs="宋体"/>
                <w:szCs w:val="21"/>
              </w:rPr>
              <w:t>服务名称</w:t>
            </w:r>
          </w:p>
        </w:tc>
        <w:tc>
          <w:tcPr>
            <w:tcW w:w="2238" w:type="dxa"/>
            <w:tcBorders>
              <w:top w:val="single" w:color="auto" w:sz="4" w:space="0"/>
              <w:left w:val="single" w:color="auto" w:sz="4" w:space="0"/>
              <w:bottom w:val="single" w:color="auto" w:sz="4" w:space="0"/>
              <w:right w:val="single" w:color="auto" w:sz="4" w:space="0"/>
            </w:tcBorders>
            <w:vAlign w:val="center"/>
          </w:tcPr>
          <w:p w14:paraId="4142A35F">
            <w:pPr>
              <w:jc w:val="center"/>
              <w:rPr>
                <w:rFonts w:ascii="宋体" w:hAnsi="宋体" w:cs="宋体"/>
                <w:szCs w:val="21"/>
              </w:rPr>
            </w:pPr>
            <w:r>
              <w:rPr>
                <w:rFonts w:hint="eastAsia" w:ascii="宋体" w:hAnsi="宋体" w:cs="宋体"/>
                <w:szCs w:val="21"/>
              </w:rPr>
              <w:t>服务要求</w:t>
            </w:r>
          </w:p>
        </w:tc>
        <w:tc>
          <w:tcPr>
            <w:tcW w:w="1469" w:type="dxa"/>
            <w:tcBorders>
              <w:top w:val="single" w:color="auto" w:sz="4" w:space="0"/>
              <w:left w:val="single" w:color="auto" w:sz="4" w:space="0"/>
              <w:bottom w:val="single" w:color="auto" w:sz="4" w:space="0"/>
              <w:right w:val="single" w:color="auto" w:sz="4" w:space="0"/>
            </w:tcBorders>
            <w:vAlign w:val="center"/>
          </w:tcPr>
          <w:p w14:paraId="4C4D2827">
            <w:pPr>
              <w:jc w:val="center"/>
              <w:rPr>
                <w:rFonts w:ascii="宋体" w:hAnsi="宋体" w:cs="宋体"/>
                <w:szCs w:val="21"/>
              </w:rPr>
            </w:pPr>
            <w:r>
              <w:rPr>
                <w:rFonts w:hint="eastAsia" w:ascii="宋体" w:hAnsi="宋体" w:cs="宋体"/>
                <w:szCs w:val="21"/>
              </w:rPr>
              <w:t>服务名称</w:t>
            </w:r>
          </w:p>
        </w:tc>
        <w:tc>
          <w:tcPr>
            <w:tcW w:w="2828" w:type="dxa"/>
            <w:tcBorders>
              <w:top w:val="single" w:color="auto" w:sz="4" w:space="0"/>
              <w:left w:val="single" w:color="auto" w:sz="4" w:space="0"/>
              <w:bottom w:val="single" w:color="auto" w:sz="4" w:space="0"/>
              <w:right w:val="single" w:color="auto" w:sz="4" w:space="0"/>
            </w:tcBorders>
            <w:vAlign w:val="center"/>
          </w:tcPr>
          <w:p w14:paraId="4B6DDA52">
            <w:pPr>
              <w:jc w:val="center"/>
              <w:rPr>
                <w:rFonts w:ascii="宋体" w:hAnsi="宋体" w:cs="宋体"/>
                <w:szCs w:val="21"/>
              </w:rPr>
            </w:pPr>
            <w:r>
              <w:rPr>
                <w:rFonts w:hint="eastAsia" w:ascii="宋体" w:hAnsi="宋体" w:cs="宋体"/>
                <w:szCs w:val="21"/>
              </w:rPr>
              <w:t>所提供服务的内容</w:t>
            </w: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534DABF5">
            <w:pPr>
              <w:widowControl/>
              <w:jc w:val="left"/>
              <w:rPr>
                <w:rFonts w:ascii="宋体" w:hAnsi="宋体" w:cs="宋体"/>
                <w:szCs w:val="21"/>
              </w:rPr>
            </w:pPr>
          </w:p>
        </w:tc>
      </w:tr>
      <w:tr w14:paraId="5142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7DD5CF3B">
            <w:pPr>
              <w:rPr>
                <w:rFonts w:ascii="宋体" w:hAnsi="宋体" w:cs="宋体"/>
                <w:szCs w:val="21"/>
              </w:rPr>
            </w:pPr>
            <w:r>
              <w:rPr>
                <w:rFonts w:hint="eastAsia" w:ascii="宋体" w:hAnsi="宋体" w:cs="宋体"/>
                <w:szCs w:val="21"/>
              </w:rPr>
              <w:t>1</w:t>
            </w:r>
          </w:p>
        </w:tc>
        <w:tc>
          <w:tcPr>
            <w:tcW w:w="1221" w:type="dxa"/>
            <w:tcBorders>
              <w:top w:val="single" w:color="auto" w:sz="4" w:space="0"/>
              <w:left w:val="single" w:color="auto" w:sz="4" w:space="0"/>
              <w:bottom w:val="single" w:color="auto" w:sz="4" w:space="0"/>
              <w:right w:val="single" w:color="auto" w:sz="4" w:space="0"/>
            </w:tcBorders>
            <w:vAlign w:val="center"/>
          </w:tcPr>
          <w:p w14:paraId="2E12AD77">
            <w:pPr>
              <w:rPr>
                <w:rFonts w:ascii="宋体" w:hAnsi="宋体" w:cs="宋体"/>
                <w:szCs w:val="21"/>
              </w:rPr>
            </w:pPr>
            <w:r>
              <w:rPr>
                <w:rFonts w:hint="eastAsia" w:ascii="宋体" w:hAnsi="宋体" w:cs="宋体"/>
                <w:szCs w:val="21"/>
              </w:rPr>
              <w:t>……</w:t>
            </w:r>
          </w:p>
        </w:tc>
        <w:tc>
          <w:tcPr>
            <w:tcW w:w="2238" w:type="dxa"/>
            <w:tcBorders>
              <w:top w:val="single" w:color="auto" w:sz="4" w:space="0"/>
              <w:left w:val="single" w:color="auto" w:sz="4" w:space="0"/>
              <w:bottom w:val="single" w:color="auto" w:sz="4" w:space="0"/>
              <w:right w:val="single" w:color="auto" w:sz="4" w:space="0"/>
            </w:tcBorders>
            <w:vAlign w:val="center"/>
          </w:tcPr>
          <w:p w14:paraId="262A66E3">
            <w:pPr>
              <w:rPr>
                <w:rFonts w:ascii="宋体" w:hAnsi="宋体" w:cs="宋体"/>
                <w:szCs w:val="21"/>
              </w:rPr>
            </w:pPr>
            <w:r>
              <w:rPr>
                <w:rFonts w:hint="eastAsia" w:ascii="宋体" w:hAnsi="宋体" w:cs="宋体"/>
                <w:szCs w:val="21"/>
              </w:rPr>
              <w:t>1  ……</w:t>
            </w:r>
          </w:p>
          <w:p w14:paraId="24510125">
            <w:pPr>
              <w:rPr>
                <w:rFonts w:ascii="宋体" w:hAnsi="宋体" w:cs="宋体"/>
                <w:szCs w:val="21"/>
              </w:rPr>
            </w:pPr>
            <w:r>
              <w:rPr>
                <w:rFonts w:hint="eastAsia" w:ascii="宋体" w:hAnsi="宋体" w:cs="宋体"/>
                <w:szCs w:val="21"/>
              </w:rPr>
              <w:t>2  ……</w:t>
            </w:r>
          </w:p>
          <w:p w14:paraId="1DB8098B">
            <w:pPr>
              <w:rPr>
                <w:rFonts w:ascii="宋体" w:hAnsi="宋体" w:cs="宋体"/>
                <w:szCs w:val="21"/>
              </w:rPr>
            </w:pPr>
            <w:r>
              <w:rPr>
                <w:rFonts w:hint="eastAsia" w:ascii="宋体" w:hAnsi="宋体" w:cs="宋体"/>
                <w:szCs w:val="21"/>
              </w:rPr>
              <w:t>3  ……</w:t>
            </w:r>
          </w:p>
          <w:p w14:paraId="57E0A881">
            <w:pPr>
              <w:rPr>
                <w:rFonts w:ascii="宋体" w:hAnsi="宋体" w:cs="宋体"/>
                <w:szCs w:val="21"/>
              </w:rPr>
            </w:pPr>
            <w:r>
              <w:rPr>
                <w:rFonts w:hint="eastAsia" w:ascii="宋体" w:hAnsi="宋体" w:cs="宋体"/>
                <w:szCs w:val="21"/>
              </w:rPr>
              <w:t>……</w:t>
            </w:r>
          </w:p>
        </w:tc>
        <w:tc>
          <w:tcPr>
            <w:tcW w:w="1469" w:type="dxa"/>
            <w:tcBorders>
              <w:top w:val="single" w:color="auto" w:sz="4" w:space="0"/>
              <w:left w:val="single" w:color="auto" w:sz="4" w:space="0"/>
              <w:bottom w:val="single" w:color="auto" w:sz="4" w:space="0"/>
              <w:right w:val="single" w:color="auto" w:sz="4" w:space="0"/>
            </w:tcBorders>
            <w:vAlign w:val="center"/>
          </w:tcPr>
          <w:p w14:paraId="5CA4D865">
            <w:pPr>
              <w:rPr>
                <w:rFonts w:ascii="宋体" w:hAnsi="宋体" w:cs="宋体"/>
                <w:szCs w:val="21"/>
              </w:rPr>
            </w:pPr>
            <w:r>
              <w:rPr>
                <w:rFonts w:hint="eastAsia" w:ascii="宋体" w:hAnsi="宋体" w:cs="宋体"/>
                <w:szCs w:val="21"/>
              </w:rPr>
              <w:t>……</w:t>
            </w:r>
          </w:p>
        </w:tc>
        <w:tc>
          <w:tcPr>
            <w:tcW w:w="2828" w:type="dxa"/>
            <w:tcBorders>
              <w:top w:val="single" w:color="auto" w:sz="4" w:space="0"/>
              <w:left w:val="single" w:color="auto" w:sz="4" w:space="0"/>
              <w:bottom w:val="single" w:color="auto" w:sz="4" w:space="0"/>
              <w:right w:val="single" w:color="auto" w:sz="4" w:space="0"/>
            </w:tcBorders>
            <w:vAlign w:val="center"/>
          </w:tcPr>
          <w:p w14:paraId="57BE9AA3">
            <w:pPr>
              <w:rPr>
                <w:rFonts w:ascii="宋体" w:hAnsi="宋体" w:cs="宋体"/>
                <w:szCs w:val="21"/>
              </w:rPr>
            </w:pPr>
            <w:r>
              <w:rPr>
                <w:rFonts w:hint="eastAsia" w:ascii="宋体" w:hAnsi="宋体" w:cs="宋体"/>
                <w:szCs w:val="21"/>
              </w:rPr>
              <w:t>1  ……</w:t>
            </w:r>
          </w:p>
          <w:p w14:paraId="491252B2">
            <w:pPr>
              <w:rPr>
                <w:rFonts w:ascii="宋体" w:hAnsi="宋体" w:cs="宋体"/>
                <w:szCs w:val="21"/>
              </w:rPr>
            </w:pPr>
            <w:r>
              <w:rPr>
                <w:rFonts w:hint="eastAsia" w:ascii="宋体" w:hAnsi="宋体" w:cs="宋体"/>
                <w:szCs w:val="21"/>
              </w:rPr>
              <w:t>2  ……</w:t>
            </w:r>
          </w:p>
          <w:p w14:paraId="17B4DB2A">
            <w:pPr>
              <w:rPr>
                <w:rFonts w:ascii="宋体" w:hAnsi="宋体" w:cs="宋体"/>
                <w:szCs w:val="21"/>
              </w:rPr>
            </w:pPr>
            <w:r>
              <w:rPr>
                <w:rFonts w:hint="eastAsia" w:ascii="宋体" w:hAnsi="宋体" w:cs="宋体"/>
                <w:szCs w:val="21"/>
              </w:rPr>
              <w:t>3  ……</w:t>
            </w:r>
          </w:p>
          <w:p w14:paraId="42D88B27">
            <w:pPr>
              <w:rPr>
                <w:rFonts w:ascii="宋体" w:hAnsi="宋体" w:cs="宋体"/>
                <w:szCs w:val="21"/>
              </w:rPr>
            </w:pPr>
            <w:r>
              <w:rPr>
                <w:rFonts w:hint="eastAsia" w:ascii="宋体" w:hAnsi="宋体" w:cs="宋体"/>
                <w:szCs w:val="21"/>
              </w:rPr>
              <w:t>……</w:t>
            </w:r>
          </w:p>
        </w:tc>
        <w:tc>
          <w:tcPr>
            <w:tcW w:w="1428" w:type="dxa"/>
            <w:tcBorders>
              <w:top w:val="single" w:color="auto" w:sz="4" w:space="0"/>
              <w:left w:val="single" w:color="auto" w:sz="4" w:space="0"/>
              <w:bottom w:val="single" w:color="auto" w:sz="4" w:space="0"/>
              <w:right w:val="single" w:color="auto" w:sz="4" w:space="0"/>
            </w:tcBorders>
            <w:vAlign w:val="center"/>
          </w:tcPr>
          <w:p w14:paraId="5E95E7F9">
            <w:pPr>
              <w:rPr>
                <w:rFonts w:ascii="宋体" w:hAnsi="宋体" w:cs="宋体"/>
                <w:szCs w:val="21"/>
              </w:rPr>
            </w:pPr>
            <w:r>
              <w:rPr>
                <w:rFonts w:hint="eastAsia" w:ascii="宋体" w:hAnsi="宋体" w:cs="宋体"/>
                <w:szCs w:val="21"/>
              </w:rPr>
              <w:t>正偏离（负偏离或无偏离）</w:t>
            </w:r>
          </w:p>
        </w:tc>
      </w:tr>
      <w:tr w14:paraId="4B52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6FAD5164">
            <w:pPr>
              <w:rPr>
                <w:rFonts w:ascii="宋体" w:hAnsi="宋体" w:cs="宋体"/>
                <w:szCs w:val="21"/>
              </w:rPr>
            </w:pPr>
            <w:r>
              <w:rPr>
                <w:rFonts w:hint="eastAsia" w:ascii="宋体" w:hAnsi="宋体" w:cs="宋体"/>
                <w:szCs w:val="21"/>
              </w:rPr>
              <w:t>2</w:t>
            </w:r>
          </w:p>
        </w:tc>
        <w:tc>
          <w:tcPr>
            <w:tcW w:w="1221" w:type="dxa"/>
            <w:tcBorders>
              <w:top w:val="single" w:color="auto" w:sz="4" w:space="0"/>
              <w:left w:val="single" w:color="auto" w:sz="4" w:space="0"/>
              <w:bottom w:val="single" w:color="auto" w:sz="4" w:space="0"/>
              <w:right w:val="single" w:color="auto" w:sz="4" w:space="0"/>
            </w:tcBorders>
            <w:vAlign w:val="center"/>
          </w:tcPr>
          <w:p w14:paraId="5B5F63CA">
            <w:pPr>
              <w:rPr>
                <w:rFonts w:ascii="宋体" w:hAnsi="宋体" w:cs="宋体"/>
                <w:szCs w:val="21"/>
              </w:rPr>
            </w:pPr>
            <w:r>
              <w:rPr>
                <w:rFonts w:hint="eastAsia" w:ascii="宋体" w:hAnsi="宋体" w:cs="宋体"/>
                <w:szCs w:val="21"/>
              </w:rPr>
              <w:t>……</w:t>
            </w:r>
          </w:p>
        </w:tc>
        <w:tc>
          <w:tcPr>
            <w:tcW w:w="2238" w:type="dxa"/>
            <w:tcBorders>
              <w:top w:val="single" w:color="auto" w:sz="4" w:space="0"/>
              <w:left w:val="single" w:color="auto" w:sz="4" w:space="0"/>
              <w:bottom w:val="single" w:color="auto" w:sz="4" w:space="0"/>
              <w:right w:val="single" w:color="auto" w:sz="4" w:space="0"/>
            </w:tcBorders>
            <w:vAlign w:val="center"/>
          </w:tcPr>
          <w:p w14:paraId="32356867">
            <w:pPr>
              <w:rPr>
                <w:rFonts w:ascii="宋体" w:hAnsi="宋体" w:cs="宋体"/>
                <w:szCs w:val="21"/>
              </w:rPr>
            </w:pPr>
            <w:r>
              <w:rPr>
                <w:rFonts w:hint="eastAsia" w:ascii="宋体" w:hAnsi="宋体" w:cs="宋体"/>
                <w:szCs w:val="21"/>
              </w:rPr>
              <w:t>1  ……</w:t>
            </w:r>
          </w:p>
          <w:p w14:paraId="01649F6D">
            <w:pPr>
              <w:rPr>
                <w:rFonts w:ascii="宋体" w:hAnsi="宋体" w:cs="宋体"/>
                <w:szCs w:val="21"/>
              </w:rPr>
            </w:pPr>
            <w:r>
              <w:rPr>
                <w:rFonts w:hint="eastAsia" w:ascii="宋体" w:hAnsi="宋体" w:cs="宋体"/>
                <w:szCs w:val="21"/>
              </w:rPr>
              <w:t>2  ……</w:t>
            </w:r>
          </w:p>
          <w:p w14:paraId="5646605D">
            <w:pPr>
              <w:rPr>
                <w:rFonts w:ascii="宋体" w:hAnsi="宋体" w:cs="宋体"/>
                <w:szCs w:val="21"/>
              </w:rPr>
            </w:pPr>
            <w:r>
              <w:rPr>
                <w:rFonts w:hint="eastAsia" w:ascii="宋体" w:hAnsi="宋体" w:cs="宋体"/>
                <w:szCs w:val="21"/>
              </w:rPr>
              <w:t>3  ……</w:t>
            </w:r>
          </w:p>
          <w:p w14:paraId="3C367685">
            <w:pPr>
              <w:rPr>
                <w:rFonts w:ascii="宋体" w:hAnsi="宋体" w:cs="宋体"/>
                <w:szCs w:val="21"/>
              </w:rPr>
            </w:pPr>
            <w:r>
              <w:rPr>
                <w:rFonts w:hint="eastAsia" w:ascii="宋体" w:hAnsi="宋体" w:cs="宋体"/>
                <w:szCs w:val="21"/>
              </w:rPr>
              <w:t>……</w:t>
            </w:r>
          </w:p>
        </w:tc>
        <w:tc>
          <w:tcPr>
            <w:tcW w:w="1469" w:type="dxa"/>
            <w:tcBorders>
              <w:top w:val="single" w:color="auto" w:sz="4" w:space="0"/>
              <w:left w:val="single" w:color="auto" w:sz="4" w:space="0"/>
              <w:bottom w:val="single" w:color="auto" w:sz="4" w:space="0"/>
              <w:right w:val="single" w:color="auto" w:sz="4" w:space="0"/>
            </w:tcBorders>
            <w:vAlign w:val="center"/>
          </w:tcPr>
          <w:p w14:paraId="54D3AF55">
            <w:pPr>
              <w:rPr>
                <w:rFonts w:ascii="宋体" w:hAnsi="宋体" w:cs="宋体"/>
                <w:szCs w:val="21"/>
              </w:rPr>
            </w:pPr>
            <w:r>
              <w:rPr>
                <w:rFonts w:hint="eastAsia" w:ascii="宋体" w:hAnsi="宋体" w:cs="宋体"/>
                <w:szCs w:val="21"/>
              </w:rPr>
              <w:t>……</w:t>
            </w:r>
          </w:p>
        </w:tc>
        <w:tc>
          <w:tcPr>
            <w:tcW w:w="2828" w:type="dxa"/>
            <w:tcBorders>
              <w:top w:val="single" w:color="auto" w:sz="4" w:space="0"/>
              <w:left w:val="single" w:color="auto" w:sz="4" w:space="0"/>
              <w:bottom w:val="single" w:color="auto" w:sz="4" w:space="0"/>
              <w:right w:val="single" w:color="auto" w:sz="4" w:space="0"/>
            </w:tcBorders>
            <w:vAlign w:val="center"/>
          </w:tcPr>
          <w:p w14:paraId="096059BE">
            <w:pPr>
              <w:rPr>
                <w:rFonts w:ascii="宋体" w:hAnsi="宋体" w:cs="宋体"/>
                <w:szCs w:val="21"/>
              </w:rPr>
            </w:pPr>
            <w:r>
              <w:rPr>
                <w:rFonts w:hint="eastAsia" w:ascii="宋体" w:hAnsi="宋体" w:cs="宋体"/>
                <w:szCs w:val="21"/>
              </w:rPr>
              <w:t>1  ……</w:t>
            </w:r>
          </w:p>
          <w:p w14:paraId="4145D629">
            <w:pPr>
              <w:rPr>
                <w:rFonts w:ascii="宋体" w:hAnsi="宋体" w:cs="宋体"/>
                <w:szCs w:val="21"/>
              </w:rPr>
            </w:pPr>
            <w:r>
              <w:rPr>
                <w:rFonts w:hint="eastAsia" w:ascii="宋体" w:hAnsi="宋体" w:cs="宋体"/>
                <w:szCs w:val="21"/>
              </w:rPr>
              <w:t>2  ……</w:t>
            </w:r>
          </w:p>
          <w:p w14:paraId="092893CB">
            <w:pPr>
              <w:rPr>
                <w:rFonts w:ascii="宋体" w:hAnsi="宋体" w:cs="宋体"/>
                <w:szCs w:val="21"/>
              </w:rPr>
            </w:pPr>
            <w:r>
              <w:rPr>
                <w:rFonts w:hint="eastAsia" w:ascii="宋体" w:hAnsi="宋体" w:cs="宋体"/>
                <w:szCs w:val="21"/>
              </w:rPr>
              <w:t>3  ……</w:t>
            </w:r>
          </w:p>
          <w:p w14:paraId="613C0A3F">
            <w:pPr>
              <w:rPr>
                <w:rFonts w:ascii="宋体" w:hAnsi="宋体" w:cs="宋体"/>
                <w:szCs w:val="21"/>
              </w:rPr>
            </w:pPr>
            <w:r>
              <w:rPr>
                <w:rFonts w:hint="eastAsia" w:ascii="宋体" w:hAnsi="宋体" w:cs="宋体"/>
                <w:szCs w:val="21"/>
              </w:rPr>
              <w:t>……</w:t>
            </w:r>
          </w:p>
        </w:tc>
        <w:tc>
          <w:tcPr>
            <w:tcW w:w="1428" w:type="dxa"/>
            <w:tcBorders>
              <w:top w:val="single" w:color="auto" w:sz="4" w:space="0"/>
              <w:left w:val="single" w:color="auto" w:sz="4" w:space="0"/>
              <w:bottom w:val="single" w:color="auto" w:sz="4" w:space="0"/>
              <w:right w:val="single" w:color="auto" w:sz="4" w:space="0"/>
            </w:tcBorders>
            <w:vAlign w:val="center"/>
          </w:tcPr>
          <w:p w14:paraId="42F91535">
            <w:pPr>
              <w:rPr>
                <w:rFonts w:ascii="宋体" w:hAnsi="宋体" w:cs="宋体"/>
                <w:szCs w:val="21"/>
              </w:rPr>
            </w:pPr>
            <w:r>
              <w:rPr>
                <w:rFonts w:hint="eastAsia" w:ascii="宋体" w:hAnsi="宋体" w:cs="宋体"/>
                <w:szCs w:val="21"/>
              </w:rPr>
              <w:t>正偏离（负偏离或无偏离）</w:t>
            </w:r>
          </w:p>
        </w:tc>
      </w:tr>
      <w:tr w14:paraId="4488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7DC8C1D9">
            <w:pPr>
              <w:rPr>
                <w:rFonts w:ascii="宋体" w:hAnsi="宋体" w:cs="宋体"/>
                <w:szCs w:val="21"/>
              </w:rPr>
            </w:pPr>
            <w:r>
              <w:rPr>
                <w:rFonts w:hint="eastAsia" w:ascii="宋体" w:hAnsi="宋体" w:cs="宋体"/>
                <w:szCs w:val="21"/>
              </w:rPr>
              <w:t>...</w:t>
            </w:r>
          </w:p>
        </w:tc>
        <w:tc>
          <w:tcPr>
            <w:tcW w:w="1221" w:type="dxa"/>
            <w:tcBorders>
              <w:top w:val="single" w:color="auto" w:sz="4" w:space="0"/>
              <w:left w:val="single" w:color="auto" w:sz="4" w:space="0"/>
              <w:bottom w:val="single" w:color="auto" w:sz="4" w:space="0"/>
              <w:right w:val="single" w:color="auto" w:sz="4" w:space="0"/>
            </w:tcBorders>
            <w:vAlign w:val="center"/>
          </w:tcPr>
          <w:p w14:paraId="19E5BA37">
            <w:pPr>
              <w:rPr>
                <w:rFonts w:ascii="宋体" w:hAnsi="宋体" w:cs="宋体"/>
                <w:szCs w:val="21"/>
              </w:rPr>
            </w:pPr>
          </w:p>
        </w:tc>
        <w:tc>
          <w:tcPr>
            <w:tcW w:w="2238" w:type="dxa"/>
            <w:tcBorders>
              <w:top w:val="single" w:color="auto" w:sz="4" w:space="0"/>
              <w:left w:val="single" w:color="auto" w:sz="4" w:space="0"/>
              <w:bottom w:val="single" w:color="auto" w:sz="4" w:space="0"/>
              <w:right w:val="single" w:color="auto" w:sz="4" w:space="0"/>
            </w:tcBorders>
            <w:vAlign w:val="center"/>
          </w:tcPr>
          <w:p w14:paraId="0DF683F0">
            <w:pPr>
              <w:rPr>
                <w:rFonts w:ascii="宋体" w:hAnsi="宋体" w:cs="宋体"/>
                <w:szCs w:val="21"/>
              </w:rPr>
            </w:pPr>
          </w:p>
        </w:tc>
        <w:tc>
          <w:tcPr>
            <w:tcW w:w="1469" w:type="dxa"/>
            <w:tcBorders>
              <w:top w:val="single" w:color="auto" w:sz="4" w:space="0"/>
              <w:left w:val="single" w:color="auto" w:sz="4" w:space="0"/>
              <w:bottom w:val="single" w:color="auto" w:sz="4" w:space="0"/>
              <w:right w:val="single" w:color="auto" w:sz="4" w:space="0"/>
            </w:tcBorders>
            <w:vAlign w:val="center"/>
          </w:tcPr>
          <w:p w14:paraId="4BA3C2EB">
            <w:pPr>
              <w:rPr>
                <w:rFonts w:ascii="宋体" w:hAnsi="宋体" w:cs="宋体"/>
                <w:szCs w:val="21"/>
              </w:rPr>
            </w:pPr>
          </w:p>
        </w:tc>
        <w:tc>
          <w:tcPr>
            <w:tcW w:w="2828" w:type="dxa"/>
            <w:tcBorders>
              <w:top w:val="single" w:color="auto" w:sz="4" w:space="0"/>
              <w:left w:val="single" w:color="auto" w:sz="4" w:space="0"/>
              <w:bottom w:val="single" w:color="auto" w:sz="4" w:space="0"/>
              <w:right w:val="single" w:color="auto" w:sz="4" w:space="0"/>
            </w:tcBorders>
            <w:vAlign w:val="center"/>
          </w:tcPr>
          <w:p w14:paraId="063BEBA9">
            <w:pPr>
              <w:rPr>
                <w:rFonts w:ascii="宋体" w:hAnsi="宋体" w:cs="宋体"/>
                <w:szCs w:val="21"/>
              </w:rPr>
            </w:pPr>
          </w:p>
        </w:tc>
        <w:tc>
          <w:tcPr>
            <w:tcW w:w="1428" w:type="dxa"/>
            <w:tcBorders>
              <w:top w:val="single" w:color="auto" w:sz="4" w:space="0"/>
              <w:left w:val="single" w:color="auto" w:sz="4" w:space="0"/>
              <w:bottom w:val="single" w:color="auto" w:sz="4" w:space="0"/>
              <w:right w:val="single" w:color="auto" w:sz="4" w:space="0"/>
            </w:tcBorders>
            <w:vAlign w:val="center"/>
          </w:tcPr>
          <w:p w14:paraId="03659DFC">
            <w:pPr>
              <w:rPr>
                <w:rFonts w:ascii="宋体" w:hAnsi="宋体" w:cs="宋体"/>
                <w:szCs w:val="21"/>
              </w:rPr>
            </w:pPr>
          </w:p>
        </w:tc>
      </w:tr>
    </w:tbl>
    <w:p w14:paraId="5FC0D875">
      <w:pPr>
        <w:pStyle w:val="21"/>
        <w:spacing w:line="440" w:lineRule="exact"/>
        <w:rPr>
          <w:rFonts w:ascii="宋体" w:hAnsi="宋体" w:cs="宋体"/>
          <w:sz w:val="21"/>
          <w:szCs w:val="21"/>
        </w:rPr>
      </w:pPr>
    </w:p>
    <w:p w14:paraId="683EB483">
      <w:pPr>
        <w:pStyle w:val="21"/>
        <w:spacing w:line="440" w:lineRule="exact"/>
        <w:rPr>
          <w:rFonts w:ascii="宋体" w:hAnsi="宋体" w:cs="宋体"/>
          <w:sz w:val="21"/>
          <w:szCs w:val="21"/>
        </w:rPr>
      </w:pPr>
      <w:r>
        <w:rPr>
          <w:rFonts w:hint="eastAsia" w:ascii="宋体" w:hAnsi="宋体" w:cs="宋体"/>
          <w:sz w:val="21"/>
          <w:szCs w:val="21"/>
        </w:rPr>
        <w:t>注：磋商供应商应根据磋商技术参数及要求、对照采购文件要求在“偏离情况”栏注明“正偏离”、“负偏离”或“无偏离” 。磋商技术规格与采购要求相同的为无偏离，磋商技术规格高于采购要求的为正偏离，低于采购要求的为负偏离。</w:t>
      </w:r>
    </w:p>
    <w:p w14:paraId="730A673E">
      <w:pPr>
        <w:pStyle w:val="28"/>
        <w:rPr>
          <w:rFonts w:hAnsi="宋体" w:cs="宋体"/>
        </w:rPr>
      </w:pPr>
      <w:r>
        <w:rPr>
          <w:rFonts w:hint="eastAsia" w:hAnsi="宋体" w:cs="宋体"/>
          <w:spacing w:val="20"/>
        </w:rPr>
        <w:t xml:space="preserve">       </w:t>
      </w:r>
    </w:p>
    <w:p w14:paraId="2A57DE0B">
      <w:pPr>
        <w:pStyle w:val="28"/>
        <w:spacing w:line="300" w:lineRule="auto"/>
        <w:rPr>
          <w:rFonts w:hAnsi="宋体" w:cs="宋体"/>
        </w:rPr>
      </w:pPr>
    </w:p>
    <w:p w14:paraId="15371BA1">
      <w:pPr>
        <w:pStyle w:val="28"/>
        <w:spacing w:line="300" w:lineRule="auto"/>
        <w:rPr>
          <w:rFonts w:hAnsi="宋体" w:cs="宋体"/>
        </w:rPr>
      </w:pPr>
    </w:p>
    <w:p w14:paraId="02330CF8">
      <w:pPr>
        <w:pStyle w:val="28"/>
        <w:spacing w:line="360" w:lineRule="auto"/>
        <w:ind w:firstLine="3885" w:firstLineChars="1850"/>
        <w:rPr>
          <w:rFonts w:hAnsi="宋体" w:cs="宋体"/>
          <w:sz w:val="21"/>
          <w:u w:val="single"/>
        </w:rPr>
      </w:pPr>
      <w:r>
        <w:rPr>
          <w:rFonts w:hint="eastAsia" w:hAnsi="宋体" w:cs="宋体"/>
          <w:sz w:val="21"/>
        </w:rPr>
        <w:t>法定代表人或委托代理人（签字）:</w:t>
      </w:r>
      <w:r>
        <w:rPr>
          <w:rFonts w:hint="eastAsia" w:hAnsi="宋体" w:cs="宋体"/>
          <w:sz w:val="21"/>
          <w:u w:val="single"/>
        </w:rPr>
        <w:t xml:space="preserve">              </w:t>
      </w:r>
    </w:p>
    <w:p w14:paraId="1D653F95">
      <w:pPr>
        <w:pStyle w:val="28"/>
        <w:spacing w:line="360" w:lineRule="auto"/>
        <w:ind w:firstLine="4830" w:firstLineChars="2300"/>
        <w:rPr>
          <w:rFonts w:hAnsi="宋体" w:cs="宋体"/>
          <w:sz w:val="21"/>
          <w:u w:val="single"/>
        </w:rPr>
      </w:pPr>
      <w:r>
        <w:rPr>
          <w:rFonts w:hint="eastAsia" w:hAnsi="宋体" w:cs="宋体"/>
          <w:sz w:val="21"/>
        </w:rPr>
        <w:t>供应商（公章）：</w:t>
      </w:r>
      <w:r>
        <w:rPr>
          <w:rFonts w:hint="eastAsia" w:hAnsi="宋体" w:cs="宋体"/>
          <w:sz w:val="21"/>
          <w:u w:val="single"/>
        </w:rPr>
        <w:t xml:space="preserve">            </w:t>
      </w:r>
    </w:p>
    <w:p w14:paraId="714760E4">
      <w:pPr>
        <w:spacing w:line="360" w:lineRule="auto"/>
        <w:ind w:right="120"/>
        <w:jc w:val="right"/>
        <w:rPr>
          <w:rFonts w:ascii="宋体" w:hAnsi="宋体" w:cs="宋体"/>
          <w:szCs w:val="21"/>
          <w:u w:val="single"/>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7FD9333E">
      <w:pPr>
        <w:spacing w:line="300" w:lineRule="auto"/>
        <w:rPr>
          <w:rFonts w:ascii="宋体" w:hAnsi="宋体" w:cs="宋体"/>
          <w:szCs w:val="21"/>
        </w:rPr>
      </w:pPr>
    </w:p>
    <w:p w14:paraId="4CA243E8">
      <w:pPr>
        <w:spacing w:line="300" w:lineRule="auto"/>
        <w:rPr>
          <w:rFonts w:ascii="宋体" w:hAnsi="宋体" w:cs="宋体"/>
          <w:szCs w:val="21"/>
        </w:rPr>
      </w:pPr>
    </w:p>
    <w:p w14:paraId="53906F12">
      <w:pPr>
        <w:spacing w:line="300" w:lineRule="auto"/>
        <w:rPr>
          <w:rFonts w:ascii="宋体" w:hAnsi="宋体" w:cs="宋体"/>
          <w:szCs w:val="21"/>
        </w:rPr>
      </w:pPr>
    </w:p>
    <w:p w14:paraId="687DAA3D">
      <w:pPr>
        <w:rPr>
          <w:rFonts w:ascii="宋体" w:hAnsi="宋体" w:cs="宋体"/>
        </w:rPr>
      </w:pPr>
      <w:r>
        <w:rPr>
          <w:rFonts w:hint="eastAsia" w:ascii="宋体" w:hAnsi="宋体" w:cs="宋体"/>
          <w:szCs w:val="21"/>
        </w:rPr>
        <w:br w:type="page"/>
      </w:r>
    </w:p>
    <w:p w14:paraId="64D7C4ED">
      <w:pPr>
        <w:spacing w:line="300" w:lineRule="auto"/>
        <w:jc w:val="center"/>
        <w:rPr>
          <w:rFonts w:ascii="宋体" w:hAnsi="宋体" w:cs="宋体"/>
          <w:b/>
          <w:sz w:val="32"/>
          <w:szCs w:val="32"/>
        </w:rPr>
      </w:pPr>
      <w:r>
        <w:rPr>
          <w:rFonts w:hint="eastAsia" w:ascii="宋体" w:hAnsi="宋体" w:cs="宋体"/>
          <w:b/>
          <w:sz w:val="32"/>
          <w:szCs w:val="32"/>
        </w:rPr>
        <w:t>商务响应表（格式）</w:t>
      </w:r>
    </w:p>
    <w:p w14:paraId="2B21BE43">
      <w:pPr>
        <w:spacing w:line="300" w:lineRule="auto"/>
        <w:rPr>
          <w:rFonts w:ascii="宋体" w:hAnsi="宋体" w:cs="宋体"/>
          <w:szCs w:val="21"/>
        </w:rPr>
      </w:pPr>
    </w:p>
    <w:p w14:paraId="7265B9C9">
      <w:pPr>
        <w:spacing w:line="300" w:lineRule="auto"/>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02709D93">
      <w:pPr>
        <w:spacing w:before="50" w:line="440" w:lineRule="exact"/>
        <w:rPr>
          <w:rFonts w:ascii="宋体" w:hAnsi="宋体" w:cs="宋体"/>
          <w:szCs w:val="21"/>
        </w:rPr>
      </w:pPr>
      <w:r>
        <w:rPr>
          <w:rFonts w:hint="eastAsia" w:ascii="宋体" w:hAnsi="宋体" w:cs="宋体"/>
          <w:szCs w:val="21"/>
        </w:rPr>
        <w:t>项目名称:</w:t>
      </w:r>
    </w:p>
    <w:p w14:paraId="4B8B7615">
      <w:pPr>
        <w:spacing w:before="50" w:line="440" w:lineRule="exact"/>
        <w:rPr>
          <w:rFonts w:ascii="宋体" w:hAnsi="宋体" w:cs="宋体"/>
          <w:szCs w:val="21"/>
        </w:rPr>
      </w:pPr>
      <w:r>
        <w:rPr>
          <w:rFonts w:hint="eastAsia" w:ascii="宋体" w:hAnsi="宋体" w:cs="宋体"/>
          <w:szCs w:val="21"/>
        </w:rPr>
        <w:t>分标（如有）：</w:t>
      </w:r>
      <w:r>
        <w:rPr>
          <w:rFonts w:hint="eastAsia" w:ascii="宋体" w:hAnsi="宋体" w:cs="宋体"/>
          <w:szCs w:val="21"/>
          <w:u w:val="single"/>
        </w:rPr>
        <w:t xml:space="preserve">    </w:t>
      </w:r>
    </w:p>
    <w:tbl>
      <w:tblPr>
        <w:tblStyle w:val="54"/>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39"/>
        <w:gridCol w:w="2683"/>
        <w:gridCol w:w="1533"/>
        <w:gridCol w:w="3023"/>
      </w:tblGrid>
      <w:tr w14:paraId="1ED74B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839" w:type="dxa"/>
            <w:tcBorders>
              <w:top w:val="single" w:color="auto" w:sz="4" w:space="0"/>
              <w:left w:val="single" w:color="auto" w:sz="4" w:space="0"/>
              <w:bottom w:val="single" w:color="auto" w:sz="4" w:space="0"/>
              <w:right w:val="single" w:color="auto" w:sz="4" w:space="0"/>
            </w:tcBorders>
            <w:vAlign w:val="center"/>
          </w:tcPr>
          <w:p w14:paraId="4A8D09AF">
            <w:pPr>
              <w:jc w:val="center"/>
              <w:rPr>
                <w:rFonts w:ascii="宋体" w:hAnsi="宋体" w:cs="宋体"/>
                <w:szCs w:val="21"/>
              </w:rPr>
            </w:pPr>
            <w:r>
              <w:rPr>
                <w:rFonts w:hint="eastAsia" w:ascii="宋体" w:hAnsi="宋体" w:cs="宋体"/>
                <w:szCs w:val="21"/>
              </w:rPr>
              <w:t>项目</w:t>
            </w:r>
          </w:p>
        </w:tc>
        <w:tc>
          <w:tcPr>
            <w:tcW w:w="2683" w:type="dxa"/>
            <w:tcBorders>
              <w:top w:val="single" w:color="auto" w:sz="4" w:space="0"/>
              <w:left w:val="single" w:color="auto" w:sz="4" w:space="0"/>
              <w:bottom w:val="single" w:color="auto" w:sz="4" w:space="0"/>
              <w:right w:val="single" w:color="auto" w:sz="4" w:space="0"/>
            </w:tcBorders>
            <w:vAlign w:val="center"/>
          </w:tcPr>
          <w:p w14:paraId="337516E5">
            <w:pPr>
              <w:jc w:val="center"/>
              <w:rPr>
                <w:rFonts w:ascii="宋体" w:hAnsi="宋体" w:cs="宋体"/>
                <w:szCs w:val="21"/>
              </w:rPr>
            </w:pPr>
            <w:r>
              <w:rPr>
                <w:rFonts w:hint="eastAsia" w:ascii="宋体" w:hAnsi="宋体" w:cs="宋体"/>
                <w:szCs w:val="21"/>
              </w:rPr>
              <w:t>采购文件要求</w:t>
            </w:r>
          </w:p>
        </w:tc>
        <w:tc>
          <w:tcPr>
            <w:tcW w:w="1533" w:type="dxa"/>
            <w:tcBorders>
              <w:top w:val="single" w:color="auto" w:sz="4" w:space="0"/>
              <w:left w:val="single" w:color="auto" w:sz="4" w:space="0"/>
              <w:bottom w:val="single" w:color="auto" w:sz="4" w:space="0"/>
              <w:right w:val="single" w:color="auto" w:sz="4" w:space="0"/>
            </w:tcBorders>
            <w:vAlign w:val="center"/>
          </w:tcPr>
          <w:p w14:paraId="5242D20E">
            <w:pPr>
              <w:jc w:val="center"/>
              <w:rPr>
                <w:rFonts w:ascii="宋体" w:hAnsi="宋体" w:cs="宋体"/>
                <w:szCs w:val="21"/>
              </w:rPr>
            </w:pPr>
            <w:r>
              <w:rPr>
                <w:rFonts w:hint="eastAsia" w:ascii="宋体" w:hAnsi="宋体" w:cs="宋体"/>
                <w:szCs w:val="21"/>
              </w:rPr>
              <w:t>是否响应</w:t>
            </w:r>
          </w:p>
        </w:tc>
        <w:tc>
          <w:tcPr>
            <w:tcW w:w="3023" w:type="dxa"/>
            <w:tcBorders>
              <w:top w:val="single" w:color="auto" w:sz="4" w:space="0"/>
              <w:left w:val="single" w:color="auto" w:sz="4" w:space="0"/>
              <w:bottom w:val="single" w:color="auto" w:sz="4" w:space="0"/>
              <w:right w:val="single" w:color="auto" w:sz="4" w:space="0"/>
            </w:tcBorders>
            <w:vAlign w:val="center"/>
          </w:tcPr>
          <w:p w14:paraId="009AC506">
            <w:pPr>
              <w:jc w:val="center"/>
              <w:rPr>
                <w:rFonts w:ascii="宋体" w:hAnsi="宋体" w:cs="宋体"/>
                <w:szCs w:val="21"/>
              </w:rPr>
            </w:pPr>
            <w:r>
              <w:rPr>
                <w:rFonts w:hint="eastAsia" w:ascii="宋体" w:hAnsi="宋体" w:cs="宋体"/>
                <w:szCs w:val="21"/>
              </w:rPr>
              <w:t>磋商供应商的承诺或说明</w:t>
            </w:r>
          </w:p>
        </w:tc>
      </w:tr>
      <w:tr w14:paraId="73545A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839" w:type="dxa"/>
            <w:tcBorders>
              <w:top w:val="single" w:color="auto" w:sz="4" w:space="0"/>
              <w:left w:val="single" w:color="auto" w:sz="4" w:space="0"/>
              <w:bottom w:val="single" w:color="auto" w:sz="4" w:space="0"/>
              <w:right w:val="single" w:color="auto" w:sz="4" w:space="0"/>
            </w:tcBorders>
            <w:vAlign w:val="center"/>
          </w:tcPr>
          <w:p w14:paraId="418EECEF">
            <w:pPr>
              <w:pStyle w:val="34"/>
              <w:tabs>
                <w:tab w:val="clear" w:pos="4153"/>
                <w:tab w:val="clear" w:pos="8306"/>
              </w:tabs>
              <w:spacing w:line="360" w:lineRule="auto"/>
              <w:jc w:val="center"/>
              <w:rPr>
                <w:rFonts w:ascii="宋体" w:hAnsi="宋体" w:cs="宋体"/>
                <w:b/>
                <w:bCs/>
                <w:kern w:val="2"/>
                <w:sz w:val="21"/>
                <w:szCs w:val="21"/>
              </w:rPr>
            </w:pPr>
          </w:p>
        </w:tc>
        <w:tc>
          <w:tcPr>
            <w:tcW w:w="2683" w:type="dxa"/>
            <w:tcBorders>
              <w:top w:val="single" w:color="auto" w:sz="4" w:space="0"/>
              <w:left w:val="single" w:color="auto" w:sz="4" w:space="0"/>
              <w:bottom w:val="single" w:color="auto" w:sz="4" w:space="0"/>
              <w:right w:val="single" w:color="auto" w:sz="4" w:space="0"/>
            </w:tcBorders>
            <w:vAlign w:val="center"/>
          </w:tcPr>
          <w:p w14:paraId="47530A90">
            <w:pPr>
              <w:jc w:val="center"/>
              <w:rPr>
                <w:rFonts w:ascii="宋体" w:hAnsi="宋体" w:cs="宋体"/>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414F6686">
            <w:pPr>
              <w:jc w:val="center"/>
              <w:rPr>
                <w:rFonts w:ascii="宋体" w:hAnsi="宋体" w:cs="宋体"/>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35A0B5DC">
            <w:pPr>
              <w:jc w:val="center"/>
              <w:rPr>
                <w:rFonts w:ascii="宋体" w:hAnsi="宋体" w:cs="宋体"/>
                <w:szCs w:val="21"/>
              </w:rPr>
            </w:pPr>
          </w:p>
        </w:tc>
      </w:tr>
      <w:tr w14:paraId="33AF2B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839" w:type="dxa"/>
            <w:tcBorders>
              <w:top w:val="single" w:color="auto" w:sz="4" w:space="0"/>
              <w:left w:val="single" w:color="auto" w:sz="4" w:space="0"/>
              <w:bottom w:val="single" w:color="auto" w:sz="4" w:space="0"/>
              <w:right w:val="single" w:color="auto" w:sz="4" w:space="0"/>
            </w:tcBorders>
            <w:vAlign w:val="center"/>
          </w:tcPr>
          <w:p w14:paraId="6A169FA9">
            <w:pPr>
              <w:pStyle w:val="34"/>
              <w:tabs>
                <w:tab w:val="clear" w:pos="4153"/>
                <w:tab w:val="clear" w:pos="8306"/>
              </w:tabs>
              <w:spacing w:line="360" w:lineRule="auto"/>
              <w:jc w:val="center"/>
              <w:rPr>
                <w:rFonts w:ascii="宋体" w:hAnsi="宋体" w:cs="宋体"/>
                <w:b/>
                <w:bCs/>
                <w:kern w:val="2"/>
                <w:sz w:val="21"/>
                <w:szCs w:val="21"/>
              </w:rPr>
            </w:pPr>
          </w:p>
        </w:tc>
        <w:tc>
          <w:tcPr>
            <w:tcW w:w="2683" w:type="dxa"/>
            <w:tcBorders>
              <w:top w:val="single" w:color="auto" w:sz="4" w:space="0"/>
              <w:left w:val="single" w:color="auto" w:sz="4" w:space="0"/>
              <w:bottom w:val="single" w:color="auto" w:sz="4" w:space="0"/>
              <w:right w:val="single" w:color="auto" w:sz="4" w:space="0"/>
            </w:tcBorders>
            <w:vAlign w:val="center"/>
          </w:tcPr>
          <w:p w14:paraId="3BFC68E8">
            <w:pPr>
              <w:jc w:val="center"/>
              <w:rPr>
                <w:rFonts w:ascii="宋体" w:hAnsi="宋体" w:cs="宋体"/>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2939C9A9">
            <w:pPr>
              <w:jc w:val="center"/>
              <w:rPr>
                <w:rFonts w:ascii="宋体" w:hAnsi="宋体" w:cs="宋体"/>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5897D037">
            <w:pPr>
              <w:jc w:val="center"/>
              <w:rPr>
                <w:rFonts w:ascii="宋体" w:hAnsi="宋体" w:cs="宋体"/>
                <w:szCs w:val="21"/>
              </w:rPr>
            </w:pPr>
          </w:p>
        </w:tc>
      </w:tr>
      <w:tr w14:paraId="48ED48B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839" w:type="dxa"/>
            <w:tcBorders>
              <w:top w:val="single" w:color="auto" w:sz="4" w:space="0"/>
              <w:left w:val="single" w:color="auto" w:sz="4" w:space="0"/>
              <w:bottom w:val="single" w:color="auto" w:sz="4" w:space="0"/>
              <w:right w:val="single" w:color="auto" w:sz="4" w:space="0"/>
            </w:tcBorders>
            <w:vAlign w:val="center"/>
          </w:tcPr>
          <w:p w14:paraId="64E1AAC8">
            <w:pPr>
              <w:pStyle w:val="34"/>
              <w:tabs>
                <w:tab w:val="clear" w:pos="4153"/>
                <w:tab w:val="clear" w:pos="8306"/>
              </w:tabs>
              <w:spacing w:line="360" w:lineRule="auto"/>
              <w:jc w:val="center"/>
              <w:rPr>
                <w:rFonts w:ascii="宋体" w:hAnsi="宋体" w:cs="宋体"/>
                <w:b/>
                <w:bCs/>
                <w:kern w:val="2"/>
                <w:sz w:val="21"/>
                <w:szCs w:val="21"/>
              </w:rPr>
            </w:pPr>
          </w:p>
        </w:tc>
        <w:tc>
          <w:tcPr>
            <w:tcW w:w="2683" w:type="dxa"/>
            <w:tcBorders>
              <w:top w:val="single" w:color="auto" w:sz="4" w:space="0"/>
              <w:left w:val="single" w:color="auto" w:sz="4" w:space="0"/>
              <w:bottom w:val="single" w:color="auto" w:sz="4" w:space="0"/>
              <w:right w:val="single" w:color="auto" w:sz="4" w:space="0"/>
            </w:tcBorders>
            <w:vAlign w:val="center"/>
          </w:tcPr>
          <w:p w14:paraId="3EB5FC49">
            <w:pPr>
              <w:spacing w:line="360" w:lineRule="exact"/>
              <w:jc w:val="left"/>
              <w:rPr>
                <w:rFonts w:ascii="宋体" w:hAnsi="宋体" w:cs="宋体"/>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49F10CB8">
            <w:pPr>
              <w:ind w:left="43"/>
              <w:jc w:val="center"/>
              <w:rPr>
                <w:rFonts w:ascii="宋体" w:hAnsi="宋体" w:cs="宋体"/>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3D764E46">
            <w:pPr>
              <w:ind w:left="43"/>
              <w:jc w:val="center"/>
              <w:rPr>
                <w:rFonts w:ascii="宋体" w:hAnsi="宋体" w:cs="宋体"/>
                <w:szCs w:val="21"/>
              </w:rPr>
            </w:pPr>
          </w:p>
        </w:tc>
      </w:tr>
      <w:tr w14:paraId="501890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839" w:type="dxa"/>
            <w:tcBorders>
              <w:top w:val="single" w:color="auto" w:sz="4" w:space="0"/>
              <w:left w:val="single" w:color="auto" w:sz="4" w:space="0"/>
              <w:bottom w:val="single" w:color="auto" w:sz="4" w:space="0"/>
              <w:right w:val="single" w:color="auto" w:sz="4" w:space="0"/>
            </w:tcBorders>
            <w:vAlign w:val="center"/>
          </w:tcPr>
          <w:p w14:paraId="384DF4DD">
            <w:pPr>
              <w:pStyle w:val="34"/>
              <w:tabs>
                <w:tab w:val="clear" w:pos="4153"/>
                <w:tab w:val="clear" w:pos="8306"/>
              </w:tabs>
              <w:spacing w:line="360" w:lineRule="auto"/>
              <w:jc w:val="center"/>
              <w:rPr>
                <w:rFonts w:ascii="宋体" w:hAnsi="宋体" w:cs="宋体"/>
                <w:b/>
                <w:bCs/>
                <w:kern w:val="2"/>
                <w:sz w:val="21"/>
                <w:szCs w:val="21"/>
              </w:rPr>
            </w:pPr>
          </w:p>
        </w:tc>
        <w:tc>
          <w:tcPr>
            <w:tcW w:w="2683" w:type="dxa"/>
            <w:tcBorders>
              <w:top w:val="single" w:color="auto" w:sz="4" w:space="0"/>
              <w:left w:val="single" w:color="auto" w:sz="4" w:space="0"/>
              <w:bottom w:val="single" w:color="auto" w:sz="4" w:space="0"/>
              <w:right w:val="single" w:color="auto" w:sz="4" w:space="0"/>
            </w:tcBorders>
            <w:vAlign w:val="center"/>
          </w:tcPr>
          <w:p w14:paraId="243C4553">
            <w:pPr>
              <w:spacing w:line="360" w:lineRule="exact"/>
              <w:jc w:val="left"/>
              <w:rPr>
                <w:rFonts w:ascii="宋体" w:hAnsi="宋体" w:cs="宋体"/>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6180F274">
            <w:pPr>
              <w:ind w:left="43"/>
              <w:jc w:val="center"/>
              <w:rPr>
                <w:rFonts w:ascii="宋体" w:hAnsi="宋体" w:cs="宋体"/>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54F8BD05">
            <w:pPr>
              <w:ind w:left="43"/>
              <w:jc w:val="center"/>
              <w:rPr>
                <w:rFonts w:ascii="宋体" w:hAnsi="宋体" w:cs="宋体"/>
                <w:szCs w:val="21"/>
              </w:rPr>
            </w:pPr>
          </w:p>
        </w:tc>
      </w:tr>
      <w:tr w14:paraId="09FF04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839" w:type="dxa"/>
            <w:tcBorders>
              <w:top w:val="single" w:color="auto" w:sz="4" w:space="0"/>
              <w:left w:val="single" w:color="auto" w:sz="4" w:space="0"/>
              <w:bottom w:val="single" w:color="auto" w:sz="4" w:space="0"/>
              <w:right w:val="single" w:color="auto" w:sz="4" w:space="0"/>
            </w:tcBorders>
            <w:vAlign w:val="center"/>
          </w:tcPr>
          <w:p w14:paraId="0AC07345">
            <w:pPr>
              <w:pStyle w:val="34"/>
              <w:tabs>
                <w:tab w:val="clear" w:pos="4153"/>
                <w:tab w:val="clear" w:pos="8306"/>
              </w:tabs>
              <w:spacing w:line="360" w:lineRule="auto"/>
              <w:jc w:val="center"/>
              <w:rPr>
                <w:rFonts w:ascii="宋体" w:hAnsi="宋体" w:cs="宋体"/>
                <w:b/>
                <w:bCs/>
                <w:kern w:val="2"/>
                <w:sz w:val="21"/>
                <w:szCs w:val="21"/>
              </w:rPr>
            </w:pPr>
          </w:p>
        </w:tc>
        <w:tc>
          <w:tcPr>
            <w:tcW w:w="2683" w:type="dxa"/>
            <w:tcBorders>
              <w:top w:val="single" w:color="auto" w:sz="4" w:space="0"/>
              <w:left w:val="single" w:color="auto" w:sz="4" w:space="0"/>
              <w:bottom w:val="single" w:color="auto" w:sz="4" w:space="0"/>
              <w:right w:val="single" w:color="auto" w:sz="4" w:space="0"/>
            </w:tcBorders>
            <w:vAlign w:val="center"/>
          </w:tcPr>
          <w:p w14:paraId="1D76020A">
            <w:pPr>
              <w:jc w:val="center"/>
              <w:rPr>
                <w:rFonts w:ascii="宋体" w:hAnsi="宋体" w:cs="宋体"/>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0621DCD1">
            <w:pPr>
              <w:ind w:left="43"/>
              <w:jc w:val="center"/>
              <w:rPr>
                <w:rFonts w:ascii="宋体" w:hAnsi="宋体" w:cs="宋体"/>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753B8B04">
            <w:pPr>
              <w:ind w:left="43"/>
              <w:jc w:val="center"/>
              <w:rPr>
                <w:rFonts w:ascii="宋体" w:hAnsi="宋体" w:cs="宋体"/>
                <w:szCs w:val="21"/>
              </w:rPr>
            </w:pPr>
          </w:p>
        </w:tc>
      </w:tr>
      <w:tr w14:paraId="56F91B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839" w:type="dxa"/>
            <w:tcBorders>
              <w:top w:val="single" w:color="auto" w:sz="4" w:space="0"/>
              <w:left w:val="single" w:color="auto" w:sz="4" w:space="0"/>
              <w:bottom w:val="single" w:color="auto" w:sz="4" w:space="0"/>
              <w:right w:val="single" w:color="auto" w:sz="4" w:space="0"/>
            </w:tcBorders>
            <w:vAlign w:val="center"/>
          </w:tcPr>
          <w:p w14:paraId="0F0BDA6E">
            <w:pPr>
              <w:pStyle w:val="34"/>
              <w:tabs>
                <w:tab w:val="clear" w:pos="4153"/>
                <w:tab w:val="clear" w:pos="8306"/>
              </w:tabs>
              <w:spacing w:line="360" w:lineRule="auto"/>
              <w:jc w:val="center"/>
              <w:rPr>
                <w:rFonts w:ascii="宋体" w:hAnsi="宋体" w:cs="宋体"/>
                <w:b/>
                <w:bCs/>
                <w:kern w:val="2"/>
                <w:sz w:val="21"/>
                <w:szCs w:val="21"/>
              </w:rPr>
            </w:pPr>
          </w:p>
        </w:tc>
        <w:tc>
          <w:tcPr>
            <w:tcW w:w="2683" w:type="dxa"/>
            <w:tcBorders>
              <w:top w:val="single" w:color="auto" w:sz="4" w:space="0"/>
              <w:left w:val="single" w:color="auto" w:sz="4" w:space="0"/>
              <w:bottom w:val="single" w:color="auto" w:sz="4" w:space="0"/>
              <w:right w:val="single" w:color="auto" w:sz="4" w:space="0"/>
            </w:tcBorders>
            <w:vAlign w:val="center"/>
          </w:tcPr>
          <w:p w14:paraId="609F7E71">
            <w:pPr>
              <w:jc w:val="center"/>
              <w:rPr>
                <w:rFonts w:ascii="宋体" w:hAnsi="宋体" w:cs="宋体"/>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5E8B8A21">
            <w:pPr>
              <w:ind w:left="43"/>
              <w:jc w:val="center"/>
              <w:rPr>
                <w:rFonts w:ascii="宋体" w:hAnsi="宋体" w:cs="宋体"/>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70128EFA">
            <w:pPr>
              <w:ind w:left="43"/>
              <w:jc w:val="center"/>
              <w:rPr>
                <w:rFonts w:ascii="宋体" w:hAnsi="宋体" w:cs="宋体"/>
                <w:szCs w:val="21"/>
              </w:rPr>
            </w:pPr>
          </w:p>
        </w:tc>
      </w:tr>
      <w:tr w14:paraId="39044F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839" w:type="dxa"/>
            <w:tcBorders>
              <w:top w:val="single" w:color="auto" w:sz="4" w:space="0"/>
              <w:left w:val="single" w:color="auto" w:sz="4" w:space="0"/>
              <w:bottom w:val="single" w:color="auto" w:sz="4" w:space="0"/>
              <w:right w:val="single" w:color="auto" w:sz="4" w:space="0"/>
            </w:tcBorders>
            <w:vAlign w:val="center"/>
          </w:tcPr>
          <w:p w14:paraId="0BA8D71E">
            <w:pPr>
              <w:pStyle w:val="34"/>
              <w:tabs>
                <w:tab w:val="clear" w:pos="4153"/>
                <w:tab w:val="clear" w:pos="8306"/>
              </w:tabs>
              <w:spacing w:line="360" w:lineRule="auto"/>
              <w:jc w:val="center"/>
              <w:rPr>
                <w:rFonts w:ascii="宋体" w:hAnsi="宋体" w:cs="宋体"/>
                <w:b/>
                <w:bCs/>
                <w:kern w:val="2"/>
                <w:sz w:val="21"/>
                <w:szCs w:val="21"/>
              </w:rPr>
            </w:pPr>
          </w:p>
        </w:tc>
        <w:tc>
          <w:tcPr>
            <w:tcW w:w="2683" w:type="dxa"/>
            <w:tcBorders>
              <w:top w:val="single" w:color="auto" w:sz="4" w:space="0"/>
              <w:left w:val="single" w:color="auto" w:sz="4" w:space="0"/>
              <w:bottom w:val="single" w:color="auto" w:sz="4" w:space="0"/>
              <w:right w:val="single" w:color="auto" w:sz="4" w:space="0"/>
            </w:tcBorders>
            <w:vAlign w:val="center"/>
          </w:tcPr>
          <w:p w14:paraId="084EF6E7">
            <w:pPr>
              <w:jc w:val="center"/>
              <w:rPr>
                <w:rFonts w:ascii="宋体" w:hAnsi="宋体" w:cs="宋体"/>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364C9E13">
            <w:pPr>
              <w:ind w:left="43"/>
              <w:jc w:val="center"/>
              <w:rPr>
                <w:rFonts w:ascii="宋体" w:hAnsi="宋体" w:cs="宋体"/>
                <w:szCs w:val="21"/>
              </w:rPr>
            </w:pPr>
          </w:p>
        </w:tc>
        <w:tc>
          <w:tcPr>
            <w:tcW w:w="3023" w:type="dxa"/>
            <w:tcBorders>
              <w:top w:val="single" w:color="auto" w:sz="4" w:space="0"/>
              <w:left w:val="single" w:color="auto" w:sz="4" w:space="0"/>
              <w:bottom w:val="single" w:color="auto" w:sz="4" w:space="0"/>
              <w:right w:val="single" w:color="auto" w:sz="4" w:space="0"/>
            </w:tcBorders>
            <w:vAlign w:val="center"/>
          </w:tcPr>
          <w:p w14:paraId="13D16677">
            <w:pPr>
              <w:ind w:left="43"/>
              <w:jc w:val="center"/>
              <w:rPr>
                <w:rFonts w:ascii="宋体" w:hAnsi="宋体" w:cs="宋体"/>
                <w:szCs w:val="21"/>
              </w:rPr>
            </w:pPr>
          </w:p>
        </w:tc>
      </w:tr>
    </w:tbl>
    <w:p w14:paraId="126A905A">
      <w:pPr>
        <w:spacing w:after="50"/>
        <w:jc w:val="left"/>
        <w:rPr>
          <w:rFonts w:ascii="宋体" w:hAnsi="宋体" w:cs="宋体"/>
          <w:b/>
          <w:szCs w:val="21"/>
        </w:rPr>
      </w:pPr>
      <w:r>
        <w:rPr>
          <w:rFonts w:hint="eastAsia" w:ascii="宋体" w:hAnsi="宋体" w:cs="宋体"/>
        </w:rPr>
        <w:t>注：供应商应根据商务要求对照磋商文件要求逐条响应并在“响应情况”栏注明“响应”或“不响应”。</w:t>
      </w:r>
    </w:p>
    <w:p w14:paraId="1B7D0E8C">
      <w:pPr>
        <w:pStyle w:val="18"/>
        <w:rPr>
          <w:rFonts w:ascii="宋体" w:hAnsi="宋体" w:eastAsia="宋体" w:cs="宋体"/>
          <w:sz w:val="21"/>
          <w:szCs w:val="21"/>
          <w:u w:val="single"/>
        </w:rPr>
      </w:pPr>
      <w:r>
        <w:rPr>
          <w:rFonts w:hint="eastAsia" w:ascii="宋体" w:hAnsi="宋体" w:eastAsia="宋体" w:cs="宋体"/>
          <w:sz w:val="21"/>
          <w:szCs w:val="21"/>
        </w:rPr>
        <w:t>法定代表人或委托代理人签字：</w:t>
      </w:r>
      <w:r>
        <w:rPr>
          <w:rFonts w:hint="eastAsia" w:ascii="宋体" w:hAnsi="宋体" w:eastAsia="宋体" w:cs="宋体"/>
          <w:sz w:val="21"/>
          <w:szCs w:val="21"/>
          <w:u w:val="single"/>
        </w:rPr>
        <w:t>　　　　　</w:t>
      </w:r>
    </w:p>
    <w:p w14:paraId="781B64B7">
      <w:pPr>
        <w:autoSpaceDE w:val="0"/>
        <w:autoSpaceDN w:val="0"/>
        <w:spacing w:before="50" w:line="300" w:lineRule="exact"/>
        <w:rPr>
          <w:rFonts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2BF3B89B">
      <w:pPr>
        <w:spacing w:line="300" w:lineRule="auto"/>
        <w:rPr>
          <w:rFonts w:ascii="宋体" w:hAnsi="宋体" w:cs="宋体"/>
          <w:szCs w:val="21"/>
          <w:u w:val="single"/>
        </w:rPr>
      </w:pPr>
      <w:r>
        <w:rPr>
          <w:rFonts w:hint="eastAsia" w:ascii="宋体" w:hAnsi="宋体" w:cs="宋体"/>
          <w:szCs w:val="21"/>
        </w:rPr>
        <w:t xml:space="preserve">日期: </w:t>
      </w:r>
      <w:r>
        <w:rPr>
          <w:rFonts w:hint="eastAsia" w:ascii="宋体" w:hAnsi="宋体" w:cs="宋体"/>
          <w:szCs w:val="21"/>
          <w:u w:val="single"/>
        </w:rPr>
        <w:t xml:space="preserve">     年    月   日</w:t>
      </w:r>
    </w:p>
    <w:p w14:paraId="00E423DB">
      <w:pPr>
        <w:pStyle w:val="34"/>
        <w:tabs>
          <w:tab w:val="clear" w:pos="4153"/>
          <w:tab w:val="clear" w:pos="8306"/>
        </w:tabs>
        <w:rPr>
          <w:rFonts w:ascii="宋体" w:hAnsi="宋体" w:cs="宋体"/>
          <w:szCs w:val="21"/>
          <w:u w:val="single"/>
        </w:rPr>
      </w:pPr>
    </w:p>
    <w:p w14:paraId="29F5388C">
      <w:pPr>
        <w:pStyle w:val="34"/>
        <w:tabs>
          <w:tab w:val="clear" w:pos="4153"/>
          <w:tab w:val="clear" w:pos="8306"/>
        </w:tabs>
        <w:rPr>
          <w:rFonts w:ascii="宋体" w:hAnsi="宋体" w:cs="宋体"/>
          <w:szCs w:val="21"/>
          <w:u w:val="single"/>
        </w:rPr>
      </w:pPr>
    </w:p>
    <w:p w14:paraId="5FC30141">
      <w:pPr>
        <w:pStyle w:val="34"/>
        <w:tabs>
          <w:tab w:val="clear" w:pos="4153"/>
          <w:tab w:val="clear" w:pos="8306"/>
        </w:tabs>
        <w:rPr>
          <w:rFonts w:ascii="宋体" w:hAnsi="宋体" w:cs="宋体"/>
          <w:szCs w:val="21"/>
          <w:u w:val="single"/>
        </w:rPr>
      </w:pPr>
    </w:p>
    <w:p w14:paraId="55DBA48A">
      <w:pPr>
        <w:pStyle w:val="34"/>
        <w:tabs>
          <w:tab w:val="clear" w:pos="4153"/>
          <w:tab w:val="clear" w:pos="8306"/>
        </w:tabs>
        <w:rPr>
          <w:rFonts w:ascii="宋体" w:hAnsi="宋体" w:cs="宋体"/>
          <w:szCs w:val="21"/>
          <w:u w:val="single"/>
        </w:rPr>
      </w:pPr>
    </w:p>
    <w:p w14:paraId="39863840">
      <w:pPr>
        <w:pStyle w:val="34"/>
        <w:tabs>
          <w:tab w:val="clear" w:pos="4153"/>
          <w:tab w:val="clear" w:pos="8306"/>
        </w:tabs>
        <w:rPr>
          <w:rFonts w:ascii="宋体" w:hAnsi="宋体" w:cs="宋体"/>
          <w:szCs w:val="21"/>
          <w:u w:val="single"/>
        </w:rPr>
      </w:pPr>
    </w:p>
    <w:p w14:paraId="0075F1EC">
      <w:pPr>
        <w:pStyle w:val="34"/>
        <w:tabs>
          <w:tab w:val="clear" w:pos="4153"/>
          <w:tab w:val="clear" w:pos="8306"/>
        </w:tabs>
        <w:rPr>
          <w:rFonts w:ascii="宋体" w:hAnsi="宋体" w:cs="宋体"/>
          <w:szCs w:val="21"/>
          <w:u w:val="single"/>
        </w:rPr>
      </w:pPr>
    </w:p>
    <w:p w14:paraId="2321067F">
      <w:pPr>
        <w:pStyle w:val="34"/>
        <w:tabs>
          <w:tab w:val="clear" w:pos="4153"/>
          <w:tab w:val="clear" w:pos="8306"/>
        </w:tabs>
        <w:rPr>
          <w:rFonts w:ascii="宋体" w:hAnsi="宋体" w:cs="宋体"/>
          <w:szCs w:val="21"/>
          <w:u w:val="single"/>
        </w:rPr>
      </w:pPr>
    </w:p>
    <w:p w14:paraId="6CFA745D">
      <w:pPr>
        <w:pStyle w:val="34"/>
        <w:tabs>
          <w:tab w:val="clear" w:pos="4153"/>
          <w:tab w:val="clear" w:pos="8306"/>
        </w:tabs>
        <w:rPr>
          <w:rFonts w:ascii="宋体" w:hAnsi="宋体" w:cs="宋体"/>
          <w:szCs w:val="21"/>
          <w:u w:val="single"/>
        </w:rPr>
      </w:pPr>
    </w:p>
    <w:p w14:paraId="430B5388">
      <w:pPr>
        <w:pStyle w:val="34"/>
        <w:tabs>
          <w:tab w:val="clear" w:pos="4153"/>
          <w:tab w:val="clear" w:pos="8306"/>
        </w:tabs>
        <w:rPr>
          <w:rFonts w:ascii="宋体" w:hAnsi="宋体" w:cs="宋体"/>
          <w:szCs w:val="21"/>
          <w:u w:val="single"/>
        </w:rPr>
      </w:pPr>
    </w:p>
    <w:p w14:paraId="55279396">
      <w:pPr>
        <w:pStyle w:val="34"/>
        <w:tabs>
          <w:tab w:val="clear" w:pos="4153"/>
          <w:tab w:val="clear" w:pos="8306"/>
        </w:tabs>
        <w:rPr>
          <w:rFonts w:ascii="宋体" w:hAnsi="宋体" w:cs="宋体"/>
          <w:szCs w:val="21"/>
          <w:u w:val="single"/>
        </w:rPr>
      </w:pPr>
    </w:p>
    <w:p w14:paraId="39C06109">
      <w:pPr>
        <w:pStyle w:val="34"/>
        <w:tabs>
          <w:tab w:val="clear" w:pos="4153"/>
          <w:tab w:val="clear" w:pos="8306"/>
        </w:tabs>
        <w:rPr>
          <w:rFonts w:ascii="宋体" w:hAnsi="宋体" w:cs="宋体"/>
          <w:szCs w:val="21"/>
          <w:u w:val="single"/>
        </w:rPr>
      </w:pPr>
    </w:p>
    <w:p w14:paraId="6556D6E1">
      <w:pPr>
        <w:pStyle w:val="34"/>
        <w:tabs>
          <w:tab w:val="clear" w:pos="4153"/>
          <w:tab w:val="clear" w:pos="8306"/>
        </w:tabs>
        <w:rPr>
          <w:rFonts w:ascii="宋体" w:hAnsi="宋体" w:cs="宋体"/>
          <w:szCs w:val="21"/>
          <w:u w:val="single"/>
        </w:rPr>
        <w:sectPr>
          <w:pgSz w:w="11906" w:h="16838"/>
          <w:pgMar w:top="1435" w:right="1435" w:bottom="1435" w:left="1435" w:header="851" w:footer="992" w:gutter="0"/>
          <w:cols w:space="720" w:num="1"/>
          <w:titlePg/>
          <w:docGrid w:type="lines" w:linePitch="312" w:charSpace="0"/>
        </w:sectPr>
      </w:pPr>
    </w:p>
    <w:p w14:paraId="467E096B">
      <w:pPr>
        <w:pStyle w:val="34"/>
        <w:tabs>
          <w:tab w:val="clear" w:pos="4153"/>
          <w:tab w:val="clear" w:pos="8306"/>
        </w:tabs>
        <w:rPr>
          <w:rFonts w:ascii="宋体" w:hAnsi="宋体" w:cs="宋体"/>
          <w:szCs w:val="21"/>
          <w:u w:val="single"/>
        </w:rPr>
      </w:pPr>
    </w:p>
    <w:p w14:paraId="15E053F4">
      <w:pPr>
        <w:pStyle w:val="34"/>
        <w:tabs>
          <w:tab w:val="clear" w:pos="4153"/>
          <w:tab w:val="clear" w:pos="8306"/>
        </w:tabs>
        <w:rPr>
          <w:rFonts w:ascii="宋体" w:hAnsi="宋体" w:cs="宋体"/>
          <w:szCs w:val="21"/>
          <w:u w:val="single"/>
        </w:rPr>
      </w:pPr>
    </w:p>
    <w:p w14:paraId="54212D6B">
      <w:pPr>
        <w:pStyle w:val="34"/>
        <w:tabs>
          <w:tab w:val="clear" w:pos="4153"/>
          <w:tab w:val="clear" w:pos="8306"/>
        </w:tabs>
        <w:rPr>
          <w:rFonts w:ascii="宋体" w:hAnsi="宋体" w:cs="宋体"/>
          <w:szCs w:val="21"/>
          <w:u w:val="single"/>
        </w:rPr>
      </w:pPr>
    </w:p>
    <w:p w14:paraId="746E75E1">
      <w:pPr>
        <w:pStyle w:val="28"/>
        <w:spacing w:line="440" w:lineRule="exact"/>
        <w:jc w:val="center"/>
        <w:rPr>
          <w:rFonts w:hAnsi="宋体" w:cs="宋体"/>
          <w:b/>
          <w:sz w:val="32"/>
          <w:szCs w:val="32"/>
        </w:rPr>
      </w:pPr>
    </w:p>
    <w:p w14:paraId="09A68B61">
      <w:pPr>
        <w:pStyle w:val="28"/>
        <w:spacing w:line="440" w:lineRule="exact"/>
        <w:jc w:val="center"/>
        <w:rPr>
          <w:rFonts w:hAnsi="宋体" w:cs="宋体"/>
          <w:b/>
          <w:sz w:val="32"/>
          <w:szCs w:val="32"/>
        </w:rPr>
      </w:pPr>
      <w:r>
        <w:rPr>
          <w:rFonts w:hint="eastAsia" w:hAnsi="宋体" w:cs="宋体"/>
          <w:b/>
          <w:sz w:val="32"/>
          <w:szCs w:val="32"/>
        </w:rPr>
        <w:t>法定代表人身份证明书（格式）</w:t>
      </w:r>
    </w:p>
    <w:p w14:paraId="0AF4AF99">
      <w:pPr>
        <w:pStyle w:val="28"/>
        <w:spacing w:line="460" w:lineRule="exact"/>
        <w:ind w:firstLine="516" w:firstLineChars="257"/>
        <w:jc w:val="center"/>
        <w:rPr>
          <w:rFonts w:hAnsi="宋体" w:cs="宋体"/>
          <w:b/>
        </w:rPr>
      </w:pPr>
    </w:p>
    <w:p w14:paraId="4EF4DF4E">
      <w:pPr>
        <w:spacing w:line="500" w:lineRule="exact"/>
        <w:rPr>
          <w:rFonts w:ascii="宋体" w:hAnsi="宋体" w:cs="宋体"/>
          <w:szCs w:val="21"/>
        </w:rPr>
      </w:pPr>
      <w:r>
        <w:rPr>
          <w:rFonts w:hint="eastAsia" w:ascii="宋体" w:hAnsi="宋体" w:cs="宋体"/>
          <w:szCs w:val="21"/>
        </w:rPr>
        <w:t>磋商单位：</w:t>
      </w:r>
      <w:r>
        <w:rPr>
          <w:rFonts w:hint="eastAsia" w:ascii="宋体" w:hAnsi="宋体" w:cs="宋体"/>
          <w:szCs w:val="21"/>
          <w:u w:val="single"/>
        </w:rPr>
        <w:t xml:space="preserve">                                                        </w:t>
      </w:r>
    </w:p>
    <w:p w14:paraId="1A33FD40">
      <w:pPr>
        <w:spacing w:line="500" w:lineRule="exact"/>
        <w:rPr>
          <w:rFonts w:ascii="宋体" w:hAnsi="宋体" w:cs="宋体"/>
          <w:szCs w:val="21"/>
        </w:rPr>
      </w:pPr>
      <w:r>
        <w:rPr>
          <w:rFonts w:hint="eastAsia" w:ascii="宋体" w:hAnsi="宋体" w:cs="宋体"/>
          <w:szCs w:val="21"/>
        </w:rPr>
        <w:t>单位全称及性质：</w:t>
      </w:r>
      <w:r>
        <w:rPr>
          <w:rFonts w:hint="eastAsia" w:ascii="宋体" w:hAnsi="宋体" w:cs="宋体"/>
          <w:szCs w:val="21"/>
          <w:u w:val="single"/>
        </w:rPr>
        <w:t xml:space="preserve">                                                        </w:t>
      </w:r>
    </w:p>
    <w:p w14:paraId="5A3AF0EB">
      <w:pPr>
        <w:spacing w:line="500" w:lineRule="exac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118288D5">
      <w:pPr>
        <w:spacing w:line="50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26E7300">
      <w:pPr>
        <w:spacing w:line="500" w:lineRule="exact"/>
        <w:rPr>
          <w:rFonts w:ascii="宋体" w:hAnsi="宋体" w:cs="宋体"/>
          <w:szCs w:val="21"/>
        </w:rPr>
      </w:pPr>
      <w:r>
        <w:rPr>
          <w:rFonts w:hint="eastAsia" w:ascii="宋体" w:hAnsi="宋体" w:cs="宋体"/>
          <w:szCs w:val="21"/>
        </w:rPr>
        <w:t>营业执照或事业法人证书编码：</w:t>
      </w:r>
    </w:p>
    <w:p w14:paraId="79321B68">
      <w:pPr>
        <w:spacing w:line="50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54D3B783">
      <w:pPr>
        <w:spacing w:line="500" w:lineRule="exact"/>
        <w:rPr>
          <w:rFonts w:ascii="宋体" w:hAnsi="宋体" w:cs="宋体"/>
          <w:szCs w:val="21"/>
        </w:rPr>
      </w:pPr>
      <w:r>
        <w:rPr>
          <w:rFonts w:hint="eastAsia" w:ascii="宋体" w:hAnsi="宋体" w:cs="宋体"/>
          <w:szCs w:val="21"/>
        </w:rPr>
        <w:t>法定代表人姓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5A42ADF5">
      <w:pPr>
        <w:spacing w:line="500" w:lineRule="exact"/>
        <w:rPr>
          <w:rFonts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05F510FB">
      <w:pPr>
        <w:spacing w:line="500" w:lineRule="exact"/>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317DB793">
      <w:pPr>
        <w:pStyle w:val="28"/>
        <w:spacing w:line="460" w:lineRule="exact"/>
        <w:ind w:firstLine="539" w:firstLineChars="257"/>
        <w:rPr>
          <w:rFonts w:hAnsi="宋体" w:cs="宋体"/>
          <w:sz w:val="21"/>
        </w:rPr>
      </w:pPr>
      <w:r>
        <w:rPr>
          <w:rFonts w:hint="eastAsia" w:hAnsi="宋体" w:cs="宋体"/>
          <w:sz w:val="21"/>
        </w:rPr>
        <w:t>特此证明。</w:t>
      </w:r>
    </w:p>
    <w:p w14:paraId="79027C99">
      <w:pPr>
        <w:pStyle w:val="28"/>
        <w:spacing w:line="460" w:lineRule="exact"/>
        <w:ind w:firstLine="539" w:firstLineChars="257"/>
        <w:rPr>
          <w:rFonts w:hAnsi="宋体" w:cs="宋体"/>
          <w:sz w:val="21"/>
        </w:rPr>
      </w:pPr>
    </w:p>
    <w:p w14:paraId="0797DB98">
      <w:pPr>
        <w:pStyle w:val="28"/>
        <w:wordWrap w:val="0"/>
        <w:spacing w:line="460" w:lineRule="exact"/>
        <w:ind w:firstLine="539" w:firstLineChars="257"/>
        <w:jc w:val="right"/>
        <w:rPr>
          <w:rFonts w:hAnsi="宋体" w:cs="宋体"/>
          <w:sz w:val="21"/>
        </w:rPr>
      </w:pPr>
      <w:r>
        <w:rPr>
          <w:rFonts w:hint="eastAsia" w:hAnsi="宋体" w:cs="宋体"/>
          <w:sz w:val="21"/>
        </w:rPr>
        <w:t>供应商：（公章）</w:t>
      </w:r>
      <w:r>
        <w:rPr>
          <w:rFonts w:hint="eastAsia" w:hAnsi="宋体" w:cs="宋体"/>
          <w:sz w:val="21"/>
          <w:u w:val="single"/>
        </w:rPr>
        <w:t xml:space="preserve">                     </w:t>
      </w:r>
    </w:p>
    <w:p w14:paraId="1171F546">
      <w:pPr>
        <w:pStyle w:val="28"/>
        <w:spacing w:line="460" w:lineRule="exact"/>
        <w:ind w:firstLine="539" w:firstLineChars="257"/>
        <w:rPr>
          <w:rFonts w:hAnsi="宋体" w:cs="宋体"/>
          <w:sz w:val="21"/>
        </w:rPr>
      </w:pPr>
    </w:p>
    <w:p w14:paraId="7B2E8138">
      <w:pPr>
        <w:pStyle w:val="28"/>
        <w:spacing w:line="460" w:lineRule="exact"/>
        <w:ind w:firstLine="525" w:firstLineChars="250"/>
        <w:jc w:val="right"/>
        <w:rPr>
          <w:rFonts w:hAnsi="宋体" w:cs="宋体"/>
          <w:sz w:val="21"/>
        </w:rPr>
      </w:pPr>
      <w:r>
        <w:rPr>
          <w:rFonts w:hint="eastAsia" w:hAnsi="宋体" w:cs="宋体"/>
          <w:sz w:val="21"/>
        </w:rPr>
        <w:t>日期：   年    月    日</w:t>
      </w:r>
    </w:p>
    <w:p w14:paraId="3558FD2F">
      <w:pPr>
        <w:pStyle w:val="28"/>
        <w:spacing w:line="460" w:lineRule="exact"/>
        <w:rPr>
          <w:rFonts w:hAnsi="宋体" w:cs="宋体"/>
          <w:sz w:val="21"/>
        </w:rPr>
      </w:pPr>
    </w:p>
    <w:p w14:paraId="35D4448E">
      <w:pPr>
        <w:pStyle w:val="28"/>
        <w:spacing w:line="460" w:lineRule="exact"/>
        <w:rPr>
          <w:rFonts w:hAnsi="宋体" w:cs="宋体"/>
          <w:sz w:val="21"/>
        </w:rPr>
      </w:pPr>
    </w:p>
    <w:p w14:paraId="522B9EE2">
      <w:pPr>
        <w:spacing w:line="300" w:lineRule="auto"/>
        <w:rPr>
          <w:rFonts w:ascii="宋体" w:hAnsi="宋体" w:cs="宋体"/>
          <w:b/>
          <w:szCs w:val="21"/>
        </w:rPr>
      </w:pPr>
      <w:r>
        <w:rPr>
          <w:rFonts w:hint="eastAsia" w:ascii="宋体" w:hAnsi="宋体" w:cs="宋体"/>
          <w:b/>
          <w:szCs w:val="21"/>
        </w:rPr>
        <w:br w:type="page"/>
      </w:r>
    </w:p>
    <w:p w14:paraId="62DF784E">
      <w:pPr>
        <w:spacing w:line="300" w:lineRule="auto"/>
        <w:rPr>
          <w:rFonts w:ascii="宋体" w:hAnsi="宋体" w:cs="宋体"/>
          <w:b/>
          <w:szCs w:val="21"/>
        </w:rPr>
      </w:pPr>
    </w:p>
    <w:p w14:paraId="0E8D3DB8">
      <w:pPr>
        <w:spacing w:line="300" w:lineRule="auto"/>
        <w:jc w:val="center"/>
        <w:rPr>
          <w:rFonts w:ascii="宋体" w:hAnsi="宋体" w:cs="宋体"/>
          <w:b/>
          <w:sz w:val="32"/>
          <w:szCs w:val="32"/>
        </w:rPr>
      </w:pPr>
      <w:r>
        <w:rPr>
          <w:rFonts w:hint="eastAsia" w:ascii="宋体" w:hAnsi="宋体" w:cs="宋体"/>
          <w:b/>
          <w:sz w:val="32"/>
          <w:szCs w:val="32"/>
        </w:rPr>
        <w:t>法 定 代 表 人 授 权 书</w:t>
      </w:r>
    </w:p>
    <w:p w14:paraId="35013DF0">
      <w:pPr>
        <w:spacing w:line="300" w:lineRule="auto"/>
        <w:rPr>
          <w:rFonts w:ascii="宋体" w:hAnsi="宋体" w:cs="宋体"/>
          <w:szCs w:val="21"/>
        </w:rPr>
      </w:pPr>
    </w:p>
    <w:p w14:paraId="67A31DC8">
      <w:pPr>
        <w:pStyle w:val="28"/>
        <w:spacing w:line="320" w:lineRule="exact"/>
        <w:rPr>
          <w:rFonts w:hAnsi="宋体" w:cs="宋体"/>
          <w:b/>
          <w:bCs/>
          <w:sz w:val="21"/>
        </w:rPr>
      </w:pPr>
      <w:r>
        <w:rPr>
          <w:rFonts w:hint="eastAsia" w:hAnsi="宋体" w:cs="宋体"/>
          <w:bCs/>
          <w:sz w:val="21"/>
        </w:rPr>
        <w:t>致：</w:t>
      </w:r>
      <w:r>
        <w:rPr>
          <w:rFonts w:hint="eastAsia" w:hAnsi="宋体" w:cs="宋体"/>
          <w:sz w:val="21"/>
          <w:u w:val="single"/>
        </w:rPr>
        <w:t>广西正海招标有限公司</w:t>
      </w:r>
    </w:p>
    <w:p w14:paraId="69BD8D5C">
      <w:pPr>
        <w:spacing w:after="50"/>
        <w:ind w:firstLine="495" w:firstLineChars="236"/>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（姓名）</w:t>
      </w:r>
      <w:r>
        <w:rPr>
          <w:rFonts w:hint="eastAsia" w:ascii="宋体" w:hAnsi="宋体" w:cs="宋体"/>
          <w:szCs w:val="21"/>
        </w:rPr>
        <w:t xml:space="preserve">系 </w:t>
      </w:r>
      <w:r>
        <w:rPr>
          <w:rFonts w:hint="eastAsia" w:ascii="宋体" w:hAnsi="宋体" w:cs="宋体"/>
          <w:szCs w:val="21"/>
          <w:u w:val="single"/>
        </w:rPr>
        <w:t xml:space="preserve">         （供应商名称）</w:t>
      </w:r>
      <w:r>
        <w:rPr>
          <w:rFonts w:hint="eastAsia" w:ascii="宋体" w:hAnsi="宋体" w:cs="宋体"/>
          <w:szCs w:val="21"/>
        </w:rPr>
        <w:t xml:space="preserve">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（姓名、职务、身份证号码）代表我公司参加</w:t>
      </w:r>
      <w:r>
        <w:rPr>
          <w:rFonts w:hint="eastAsia" w:ascii="宋体" w:hAnsi="宋体" w:cs="宋体"/>
          <w:szCs w:val="21"/>
          <w:u w:val="single"/>
        </w:rPr>
        <w:t xml:space="preserve">         </w:t>
      </w:r>
      <w:r>
        <w:rPr>
          <w:rFonts w:hint="eastAsia" w:ascii="宋体" w:hAnsi="宋体" w:cs="宋体"/>
          <w:szCs w:val="21"/>
        </w:rPr>
        <w:t>项目（项目编号：</w:t>
      </w:r>
      <w:r>
        <w:rPr>
          <w:rFonts w:hint="eastAsia" w:ascii="宋体" w:hAnsi="宋体" w:cs="宋体"/>
          <w:szCs w:val="21"/>
          <w:u w:val="single"/>
        </w:rPr>
        <w:t xml:space="preserve">        </w:t>
      </w:r>
      <w:r>
        <w:rPr>
          <w:rFonts w:hint="eastAsia" w:ascii="宋体" w:hAnsi="宋体" w:cs="宋体"/>
          <w:szCs w:val="21"/>
        </w:rPr>
        <w:t>）的磋商活动，并代表我公司全权办理上述项目的磋商、评标、签约等具体事务和签署相关文件。</w:t>
      </w:r>
    </w:p>
    <w:p w14:paraId="7C1657C0">
      <w:pPr>
        <w:spacing w:after="50"/>
        <w:rPr>
          <w:rFonts w:ascii="宋体" w:hAnsi="宋体" w:cs="宋体"/>
          <w:szCs w:val="21"/>
        </w:rPr>
      </w:pPr>
      <w:r>
        <w:rPr>
          <w:rFonts w:hint="eastAsia" w:ascii="宋体" w:hAnsi="宋体" w:cs="宋体"/>
          <w:szCs w:val="21"/>
        </w:rPr>
        <w:t xml:space="preserve">    我方对上列授权代理人的签字事项负全部责任。</w:t>
      </w:r>
    </w:p>
    <w:p w14:paraId="515A124D">
      <w:pPr>
        <w:spacing w:after="50"/>
        <w:ind w:firstLine="480"/>
        <w:rPr>
          <w:rFonts w:ascii="宋体" w:hAnsi="宋体" w:cs="宋体"/>
          <w:szCs w:val="21"/>
        </w:rPr>
      </w:pPr>
      <w:r>
        <w:rPr>
          <w:rFonts w:hint="eastAsia" w:ascii="宋体" w:hAnsi="宋体" w:cs="宋体"/>
          <w:szCs w:val="21"/>
          <w:u w:val="single"/>
        </w:rPr>
        <w:t>在撤销授权的书面通知以前，本授权书一直有效。</w:t>
      </w:r>
      <w:r>
        <w:rPr>
          <w:rFonts w:hint="eastAsia" w:ascii="宋体" w:hAnsi="宋体" w:cs="宋体"/>
          <w:szCs w:val="21"/>
        </w:rPr>
        <w:t>被授权人在授权书有效期内签署的所有文件不因授权的撤销而失效。</w:t>
      </w:r>
    </w:p>
    <w:p w14:paraId="15C22B1B">
      <w:pPr>
        <w:spacing w:after="50"/>
        <w:ind w:firstLine="480"/>
        <w:rPr>
          <w:rFonts w:ascii="宋体" w:hAnsi="宋体" w:cs="宋体"/>
          <w:szCs w:val="21"/>
        </w:rPr>
      </w:pPr>
      <w:r>
        <w:rPr>
          <w:rFonts w:hint="eastAsia" w:ascii="宋体" w:hAnsi="宋体" w:cs="宋体"/>
        </w:rPr>
        <w:t>委托</w:t>
      </w:r>
      <w:r>
        <w:rPr>
          <w:rFonts w:hint="eastAsia" w:ascii="宋体" w:hAnsi="宋体" w:cs="宋体"/>
          <w:szCs w:val="21"/>
        </w:rPr>
        <w:t>代理人无转委托权，特此委托。</w:t>
      </w:r>
    </w:p>
    <w:p w14:paraId="76DD7097">
      <w:pPr>
        <w:spacing w:after="50"/>
        <w:ind w:firstLine="480"/>
        <w:rPr>
          <w:rFonts w:ascii="宋体" w:hAnsi="宋体" w:cs="宋体"/>
          <w:szCs w:val="21"/>
        </w:rPr>
      </w:pPr>
      <w:r>
        <w:rPr>
          <w:rFonts w:hint="eastAsia" w:ascii="宋体" w:hAnsi="宋体" w:cs="宋体"/>
          <w:szCs w:val="21"/>
        </w:rPr>
        <w:t>附：法定代表人身份证明及</w:t>
      </w:r>
      <w:r>
        <w:rPr>
          <w:rFonts w:hint="eastAsia" w:ascii="宋体" w:hAnsi="宋体" w:cs="宋体"/>
        </w:rPr>
        <w:t>委托代理人</w:t>
      </w:r>
      <w:r>
        <w:rPr>
          <w:rFonts w:hint="eastAsia" w:ascii="宋体" w:hAnsi="宋体" w:cs="宋体"/>
          <w:szCs w:val="21"/>
        </w:rPr>
        <w:t>有效身份证正反面复印件</w:t>
      </w:r>
    </w:p>
    <w:p w14:paraId="7E86E86D">
      <w:pPr>
        <w:spacing w:after="50"/>
        <w:rPr>
          <w:rFonts w:ascii="宋体" w:hAnsi="宋体" w:cs="宋体"/>
          <w:szCs w:val="21"/>
        </w:rPr>
      </w:pPr>
    </w:p>
    <w:p w14:paraId="46C9EAC3">
      <w:pPr>
        <w:spacing w:after="50"/>
        <w:rPr>
          <w:rFonts w:ascii="宋体" w:hAnsi="宋体" w:cs="宋体"/>
          <w:szCs w:val="21"/>
          <w:u w:val="single"/>
        </w:rPr>
      </w:pPr>
      <w:r>
        <w:rPr>
          <w:rFonts w:hint="eastAsia" w:ascii="宋体" w:hAnsi="宋体" w:cs="宋体"/>
          <w:szCs w:val="21"/>
        </w:rPr>
        <w:t>委托代理人签字：                                 法定代表人签字：</w:t>
      </w:r>
      <w:r>
        <w:rPr>
          <w:rFonts w:hint="eastAsia" w:ascii="宋体" w:hAnsi="宋体" w:cs="宋体"/>
          <w:szCs w:val="21"/>
          <w:u w:val="single"/>
        </w:rPr>
        <w:t xml:space="preserve">              </w:t>
      </w:r>
    </w:p>
    <w:p w14:paraId="4CF6C5ED">
      <w:pPr>
        <w:spacing w:after="50"/>
        <w:rPr>
          <w:rFonts w:ascii="宋体" w:hAnsi="宋体" w:cs="宋体"/>
          <w:szCs w:val="21"/>
        </w:rPr>
      </w:pPr>
      <w:r>
        <w:rPr>
          <w:rFonts w:hint="eastAsia" w:ascii="宋体" w:hAnsi="宋体" w:cs="宋体"/>
          <w:szCs w:val="21"/>
        </w:rPr>
        <w:t>所在部门及职务：</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p>
    <w:p w14:paraId="15EE9C9F">
      <w:pPr>
        <w:spacing w:after="50"/>
        <w:rPr>
          <w:rFonts w:ascii="宋体" w:hAnsi="宋体" w:cs="宋体"/>
          <w:szCs w:val="21"/>
        </w:rPr>
      </w:pPr>
      <w:r>
        <w:rPr>
          <w:rFonts w:hint="eastAsia" w:ascii="宋体" w:hAnsi="宋体" w:cs="宋体"/>
        </w:rPr>
        <w:t>委托</w:t>
      </w:r>
      <w:r>
        <w:rPr>
          <w:rFonts w:hint="eastAsia" w:ascii="宋体" w:hAnsi="宋体" w:cs="宋体"/>
          <w:szCs w:val="21"/>
        </w:rPr>
        <w:t>代理人身份证号码：</w:t>
      </w:r>
      <w:r>
        <w:rPr>
          <w:rFonts w:hint="eastAsia" w:ascii="宋体" w:hAnsi="宋体" w:cs="宋体"/>
          <w:szCs w:val="21"/>
          <w:u w:val="single"/>
        </w:rPr>
        <w:t xml:space="preserve">                             </w:t>
      </w:r>
      <w:r>
        <w:rPr>
          <w:rFonts w:hint="eastAsia" w:ascii="宋体" w:hAnsi="宋体" w:cs="宋体"/>
          <w:szCs w:val="21"/>
        </w:rPr>
        <w:t xml:space="preserve"> </w:t>
      </w:r>
    </w:p>
    <w:p w14:paraId="6001BDA9">
      <w:pPr>
        <w:pStyle w:val="319"/>
        <w:shd w:val="clear" w:color="auto" w:fill="FFFFFF"/>
        <w:wordWrap w:val="0"/>
        <w:spacing w:before="0" w:beforeAutospacing="0" w:after="0" w:afterAutospacing="0" w:line="400" w:lineRule="exact"/>
        <w:ind w:firstLine="420" w:firstLineChars="200"/>
        <w:jc w:val="right"/>
        <w:rPr>
          <w:sz w:val="21"/>
          <w:szCs w:val="21"/>
        </w:rPr>
      </w:pPr>
      <w:r>
        <w:rPr>
          <w:rFonts w:hint="eastAsia"/>
          <w:sz w:val="21"/>
          <w:szCs w:val="21"/>
        </w:rPr>
        <w:t xml:space="preserve">                                   供应商（公章）：</w:t>
      </w:r>
    </w:p>
    <w:p w14:paraId="3A4F608E">
      <w:pPr>
        <w:spacing w:after="50"/>
        <w:jc w:val="center"/>
        <w:rPr>
          <w:rFonts w:ascii="宋体" w:hAnsi="宋体" w:cs="宋体"/>
          <w:szCs w:val="21"/>
        </w:rPr>
      </w:pPr>
    </w:p>
    <w:p w14:paraId="17238DA6">
      <w:pPr>
        <w:autoSpaceDE w:val="0"/>
        <w:autoSpaceDN w:val="0"/>
        <w:spacing w:line="300" w:lineRule="auto"/>
        <w:ind w:left="480" w:hanging="480"/>
        <w:rPr>
          <w:rFonts w:ascii="宋体" w:hAnsi="宋体" w:cs="宋体"/>
          <w:szCs w:val="21"/>
        </w:rPr>
      </w:pPr>
      <w:r>
        <w:rPr>
          <w:rFonts w:hint="eastAsia" w:ascii="宋体" w:hAnsi="宋体" w:cs="宋体"/>
          <w:szCs w:val="21"/>
        </w:rPr>
        <w:t xml:space="preserve">                                             </w:t>
      </w:r>
    </w:p>
    <w:p w14:paraId="50E62FD1">
      <w:pPr>
        <w:autoSpaceDE w:val="0"/>
        <w:autoSpaceDN w:val="0"/>
        <w:spacing w:line="300" w:lineRule="auto"/>
        <w:ind w:left="480" w:hanging="480"/>
        <w:jc w:val="right"/>
        <w:rPr>
          <w:rFonts w:ascii="宋体" w:hAnsi="宋体" w:cs="宋体"/>
          <w:szCs w:val="21"/>
        </w:rPr>
      </w:pPr>
      <w:r>
        <w:rPr>
          <w:rFonts w:hint="eastAsia" w:ascii="宋体" w:hAnsi="宋体" w:cs="宋体"/>
          <w:szCs w:val="21"/>
        </w:rPr>
        <w:t xml:space="preserve">  日期：      年    月    日</w:t>
      </w:r>
    </w:p>
    <w:p w14:paraId="24662280">
      <w:pPr>
        <w:spacing w:line="300" w:lineRule="auto"/>
        <w:rPr>
          <w:rFonts w:ascii="宋体" w:hAnsi="宋体" w:cs="宋体"/>
          <w:szCs w:val="21"/>
        </w:rPr>
      </w:pPr>
      <w:r>
        <w:rPr>
          <w:rFonts w:hint="eastAsia" w:ascii="宋体" w:hAnsi="宋体" w:cs="宋体"/>
          <w:szCs w:val="21"/>
        </w:rPr>
        <w:br w:type="page"/>
      </w:r>
      <w:r>
        <w:rPr>
          <w:rFonts w:hint="eastAsia" w:ascii="宋体" w:hAnsi="宋体" w:cs="宋体"/>
          <w:b/>
          <w:szCs w:val="21"/>
        </w:rPr>
        <w:t xml:space="preserve"> </w:t>
      </w:r>
    </w:p>
    <w:p w14:paraId="31A2130B">
      <w:pPr>
        <w:spacing w:before="50"/>
        <w:jc w:val="center"/>
        <w:rPr>
          <w:rFonts w:ascii="宋体" w:hAnsi="宋体" w:cs="宋体"/>
          <w:b/>
          <w:szCs w:val="21"/>
        </w:rPr>
      </w:pPr>
      <w:r>
        <w:rPr>
          <w:rFonts w:hint="eastAsia" w:ascii="宋体" w:hAnsi="宋体" w:cs="宋体"/>
          <w:b/>
          <w:szCs w:val="21"/>
        </w:rPr>
        <w:t>拟投入项目人员情况（主要从业人员及其技术资格）一览表</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729"/>
        <w:gridCol w:w="1750"/>
        <w:gridCol w:w="1461"/>
        <w:gridCol w:w="1926"/>
        <w:gridCol w:w="2011"/>
      </w:tblGrid>
      <w:tr w14:paraId="4EDD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AB35ABA">
            <w:pPr>
              <w:spacing w:before="50"/>
              <w:jc w:val="center"/>
              <w:rPr>
                <w:rFonts w:ascii="宋体" w:hAnsi="宋体" w:cs="宋体"/>
                <w:szCs w:val="21"/>
              </w:rPr>
            </w:pPr>
            <w:r>
              <w:rPr>
                <w:rFonts w:hint="eastAsia" w:ascii="宋体" w:hAnsi="宋体" w:cs="宋体"/>
                <w:szCs w:val="21"/>
              </w:rPr>
              <w:t>姓名</w:t>
            </w:r>
          </w:p>
        </w:tc>
        <w:tc>
          <w:tcPr>
            <w:tcW w:w="729" w:type="dxa"/>
            <w:tcBorders>
              <w:top w:val="single" w:color="auto" w:sz="4" w:space="0"/>
              <w:left w:val="single" w:color="auto" w:sz="4" w:space="0"/>
              <w:bottom w:val="single" w:color="auto" w:sz="4" w:space="0"/>
              <w:right w:val="single" w:color="auto" w:sz="4" w:space="0"/>
            </w:tcBorders>
            <w:vAlign w:val="center"/>
          </w:tcPr>
          <w:p w14:paraId="5EE1746B">
            <w:pPr>
              <w:spacing w:before="50"/>
              <w:jc w:val="center"/>
              <w:rPr>
                <w:rFonts w:ascii="宋体" w:hAnsi="宋体" w:cs="宋体"/>
                <w:szCs w:val="21"/>
              </w:rPr>
            </w:pPr>
            <w:r>
              <w:rPr>
                <w:rFonts w:hint="eastAsia" w:ascii="宋体" w:hAnsi="宋体" w:cs="宋体"/>
                <w:szCs w:val="21"/>
              </w:rPr>
              <w:t>职务</w:t>
            </w:r>
          </w:p>
        </w:tc>
        <w:tc>
          <w:tcPr>
            <w:tcW w:w="1750" w:type="dxa"/>
            <w:tcBorders>
              <w:top w:val="single" w:color="auto" w:sz="4" w:space="0"/>
              <w:left w:val="single" w:color="auto" w:sz="4" w:space="0"/>
              <w:bottom w:val="single" w:color="auto" w:sz="4" w:space="0"/>
              <w:right w:val="single" w:color="auto" w:sz="4" w:space="0"/>
            </w:tcBorders>
            <w:vAlign w:val="center"/>
          </w:tcPr>
          <w:p w14:paraId="66D0726C">
            <w:pPr>
              <w:spacing w:before="50"/>
              <w:jc w:val="center"/>
              <w:rPr>
                <w:rFonts w:ascii="宋体" w:hAnsi="宋体" w:cs="宋体"/>
                <w:szCs w:val="21"/>
              </w:rPr>
            </w:pPr>
            <w:r>
              <w:rPr>
                <w:rFonts w:hint="eastAsia" w:ascii="宋体" w:hAnsi="宋体" w:cs="宋体"/>
                <w:szCs w:val="21"/>
              </w:rPr>
              <w:t>专业技术资格</w:t>
            </w:r>
          </w:p>
        </w:tc>
        <w:tc>
          <w:tcPr>
            <w:tcW w:w="1461" w:type="dxa"/>
            <w:tcBorders>
              <w:top w:val="single" w:color="auto" w:sz="4" w:space="0"/>
              <w:left w:val="single" w:color="auto" w:sz="4" w:space="0"/>
              <w:bottom w:val="single" w:color="auto" w:sz="4" w:space="0"/>
              <w:right w:val="single" w:color="auto" w:sz="4" w:space="0"/>
            </w:tcBorders>
            <w:vAlign w:val="center"/>
          </w:tcPr>
          <w:p w14:paraId="55E9E13E">
            <w:pPr>
              <w:spacing w:before="50"/>
              <w:jc w:val="center"/>
              <w:rPr>
                <w:rFonts w:ascii="宋体" w:hAnsi="宋体" w:cs="宋体"/>
                <w:szCs w:val="21"/>
              </w:rPr>
            </w:pPr>
            <w:r>
              <w:rPr>
                <w:rFonts w:hint="eastAsia" w:ascii="宋体" w:hAnsi="宋体" w:cs="宋体"/>
                <w:szCs w:val="21"/>
              </w:rPr>
              <w:t>证书编号</w:t>
            </w:r>
          </w:p>
        </w:tc>
        <w:tc>
          <w:tcPr>
            <w:tcW w:w="1926" w:type="dxa"/>
            <w:tcBorders>
              <w:top w:val="single" w:color="auto" w:sz="4" w:space="0"/>
              <w:left w:val="single" w:color="auto" w:sz="4" w:space="0"/>
              <w:bottom w:val="single" w:color="auto" w:sz="4" w:space="0"/>
              <w:right w:val="single" w:color="auto" w:sz="4" w:space="0"/>
            </w:tcBorders>
            <w:vAlign w:val="center"/>
          </w:tcPr>
          <w:p w14:paraId="1E23AC82">
            <w:pPr>
              <w:jc w:val="center"/>
              <w:rPr>
                <w:rFonts w:ascii="宋体" w:hAnsi="宋体" w:cs="宋体"/>
                <w:szCs w:val="21"/>
              </w:rPr>
            </w:pPr>
            <w:r>
              <w:rPr>
                <w:rFonts w:hint="eastAsia" w:ascii="宋体" w:hAnsi="宋体" w:cs="宋体"/>
                <w:szCs w:val="21"/>
              </w:rPr>
              <w:t>从事本工作时间</w:t>
            </w:r>
          </w:p>
        </w:tc>
        <w:tc>
          <w:tcPr>
            <w:tcW w:w="2011" w:type="dxa"/>
            <w:tcBorders>
              <w:top w:val="single" w:color="auto" w:sz="4" w:space="0"/>
              <w:left w:val="single" w:color="auto" w:sz="4" w:space="0"/>
              <w:bottom w:val="single" w:color="auto" w:sz="4" w:space="0"/>
              <w:right w:val="single" w:color="auto" w:sz="4" w:space="0"/>
            </w:tcBorders>
            <w:vAlign w:val="center"/>
          </w:tcPr>
          <w:p w14:paraId="1DFF6DBB">
            <w:pPr>
              <w:spacing w:before="50"/>
              <w:jc w:val="center"/>
              <w:rPr>
                <w:rFonts w:ascii="宋体" w:hAnsi="宋体" w:cs="宋体"/>
                <w:szCs w:val="21"/>
              </w:rPr>
            </w:pPr>
            <w:r>
              <w:rPr>
                <w:rFonts w:hint="eastAsia" w:ascii="宋体" w:hAnsi="宋体" w:cs="宋体"/>
                <w:szCs w:val="21"/>
              </w:rPr>
              <w:t>备注</w:t>
            </w:r>
          </w:p>
        </w:tc>
      </w:tr>
      <w:tr w14:paraId="54FF5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CB1938F">
            <w:pPr>
              <w:spacing w:before="50"/>
              <w:jc w:val="center"/>
              <w:rPr>
                <w:rFonts w:ascii="宋体" w:hAnsi="宋体" w:cs="宋体"/>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7A894446">
            <w:pPr>
              <w:spacing w:before="50"/>
              <w:jc w:val="center"/>
              <w:rPr>
                <w:rFonts w:ascii="宋体" w:hAnsi="宋体" w:cs="宋体"/>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758F40A0">
            <w:pPr>
              <w:spacing w:before="50"/>
              <w:jc w:val="center"/>
              <w:rPr>
                <w:rFonts w:ascii="宋体" w:hAnsi="宋体" w:cs="宋体"/>
                <w:szCs w:val="21"/>
              </w:rPr>
            </w:pPr>
          </w:p>
        </w:tc>
        <w:tc>
          <w:tcPr>
            <w:tcW w:w="1461" w:type="dxa"/>
            <w:tcBorders>
              <w:top w:val="single" w:color="auto" w:sz="4" w:space="0"/>
              <w:left w:val="single" w:color="auto" w:sz="4" w:space="0"/>
              <w:bottom w:val="single" w:color="auto" w:sz="4" w:space="0"/>
              <w:right w:val="single" w:color="auto" w:sz="4" w:space="0"/>
            </w:tcBorders>
            <w:vAlign w:val="center"/>
          </w:tcPr>
          <w:p w14:paraId="4C05F81A">
            <w:pPr>
              <w:spacing w:before="50"/>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52DD16F4">
            <w:pPr>
              <w:spacing w:before="50"/>
              <w:jc w:val="center"/>
              <w:rPr>
                <w:rFonts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07FCAE36">
            <w:pPr>
              <w:spacing w:before="50"/>
              <w:jc w:val="center"/>
              <w:rPr>
                <w:rFonts w:ascii="宋体" w:hAnsi="宋体" w:cs="宋体"/>
                <w:szCs w:val="21"/>
              </w:rPr>
            </w:pPr>
          </w:p>
        </w:tc>
      </w:tr>
      <w:tr w14:paraId="50CA4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14D8CEB">
            <w:pPr>
              <w:spacing w:before="50"/>
              <w:jc w:val="center"/>
              <w:rPr>
                <w:rFonts w:ascii="宋体" w:hAnsi="宋体" w:cs="宋体"/>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77C813BF">
            <w:pPr>
              <w:spacing w:before="50"/>
              <w:jc w:val="center"/>
              <w:rPr>
                <w:rFonts w:ascii="宋体" w:hAnsi="宋体" w:cs="宋体"/>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7F229438">
            <w:pPr>
              <w:spacing w:before="50"/>
              <w:jc w:val="center"/>
              <w:rPr>
                <w:rFonts w:ascii="宋体" w:hAnsi="宋体" w:cs="宋体"/>
                <w:szCs w:val="21"/>
              </w:rPr>
            </w:pPr>
          </w:p>
        </w:tc>
        <w:tc>
          <w:tcPr>
            <w:tcW w:w="1461" w:type="dxa"/>
            <w:tcBorders>
              <w:top w:val="single" w:color="auto" w:sz="4" w:space="0"/>
              <w:left w:val="single" w:color="auto" w:sz="4" w:space="0"/>
              <w:bottom w:val="single" w:color="auto" w:sz="4" w:space="0"/>
              <w:right w:val="single" w:color="auto" w:sz="4" w:space="0"/>
            </w:tcBorders>
            <w:vAlign w:val="center"/>
          </w:tcPr>
          <w:p w14:paraId="41F282B4">
            <w:pPr>
              <w:spacing w:before="50"/>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7CE0EEAD">
            <w:pPr>
              <w:spacing w:before="50"/>
              <w:jc w:val="center"/>
              <w:rPr>
                <w:rFonts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4920A98B">
            <w:pPr>
              <w:spacing w:before="50"/>
              <w:jc w:val="center"/>
              <w:rPr>
                <w:rFonts w:ascii="宋体" w:hAnsi="宋体" w:cs="宋体"/>
                <w:szCs w:val="21"/>
              </w:rPr>
            </w:pPr>
          </w:p>
        </w:tc>
      </w:tr>
      <w:tr w14:paraId="09CBF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58ED8E1">
            <w:pPr>
              <w:spacing w:before="50"/>
              <w:jc w:val="center"/>
              <w:rPr>
                <w:rFonts w:ascii="宋体" w:hAnsi="宋体" w:cs="宋体"/>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4515556">
            <w:pPr>
              <w:spacing w:before="50"/>
              <w:jc w:val="center"/>
              <w:rPr>
                <w:rFonts w:ascii="宋体" w:hAnsi="宋体" w:cs="宋体"/>
                <w:szCs w:val="21"/>
              </w:rPr>
            </w:pPr>
          </w:p>
        </w:tc>
        <w:tc>
          <w:tcPr>
            <w:tcW w:w="1750" w:type="dxa"/>
            <w:tcBorders>
              <w:top w:val="single" w:color="auto" w:sz="4" w:space="0"/>
              <w:left w:val="single" w:color="auto" w:sz="4" w:space="0"/>
              <w:bottom w:val="single" w:color="auto" w:sz="4" w:space="0"/>
              <w:right w:val="single" w:color="auto" w:sz="4" w:space="0"/>
            </w:tcBorders>
            <w:vAlign w:val="center"/>
          </w:tcPr>
          <w:p w14:paraId="270FF39C">
            <w:pPr>
              <w:spacing w:before="50"/>
              <w:jc w:val="center"/>
              <w:rPr>
                <w:rFonts w:ascii="宋体" w:hAnsi="宋体" w:cs="宋体"/>
                <w:szCs w:val="21"/>
              </w:rPr>
            </w:pPr>
          </w:p>
        </w:tc>
        <w:tc>
          <w:tcPr>
            <w:tcW w:w="1461" w:type="dxa"/>
            <w:tcBorders>
              <w:top w:val="single" w:color="auto" w:sz="4" w:space="0"/>
              <w:left w:val="single" w:color="auto" w:sz="4" w:space="0"/>
              <w:bottom w:val="single" w:color="auto" w:sz="4" w:space="0"/>
              <w:right w:val="single" w:color="auto" w:sz="4" w:space="0"/>
            </w:tcBorders>
            <w:vAlign w:val="center"/>
          </w:tcPr>
          <w:p w14:paraId="3B120F80">
            <w:pPr>
              <w:spacing w:before="50"/>
              <w:jc w:val="center"/>
              <w:rPr>
                <w:rFonts w:ascii="宋体" w:hAnsi="宋体" w:cs="宋体"/>
                <w:szCs w:val="21"/>
              </w:rPr>
            </w:pPr>
          </w:p>
        </w:tc>
        <w:tc>
          <w:tcPr>
            <w:tcW w:w="1926" w:type="dxa"/>
            <w:tcBorders>
              <w:top w:val="single" w:color="auto" w:sz="4" w:space="0"/>
              <w:left w:val="single" w:color="auto" w:sz="4" w:space="0"/>
              <w:bottom w:val="single" w:color="auto" w:sz="4" w:space="0"/>
              <w:right w:val="single" w:color="auto" w:sz="4" w:space="0"/>
            </w:tcBorders>
            <w:vAlign w:val="center"/>
          </w:tcPr>
          <w:p w14:paraId="08DC1E8F">
            <w:pPr>
              <w:spacing w:before="50"/>
              <w:jc w:val="center"/>
              <w:rPr>
                <w:rFonts w:ascii="宋体" w:hAnsi="宋体" w:cs="宋体"/>
                <w:szCs w:val="21"/>
              </w:rPr>
            </w:pPr>
          </w:p>
        </w:tc>
        <w:tc>
          <w:tcPr>
            <w:tcW w:w="2011" w:type="dxa"/>
            <w:tcBorders>
              <w:top w:val="single" w:color="auto" w:sz="4" w:space="0"/>
              <w:left w:val="single" w:color="auto" w:sz="4" w:space="0"/>
              <w:bottom w:val="single" w:color="auto" w:sz="4" w:space="0"/>
              <w:right w:val="single" w:color="auto" w:sz="4" w:space="0"/>
            </w:tcBorders>
            <w:vAlign w:val="center"/>
          </w:tcPr>
          <w:p w14:paraId="6C6BC415">
            <w:pPr>
              <w:spacing w:before="50"/>
              <w:jc w:val="center"/>
              <w:rPr>
                <w:rFonts w:ascii="宋体" w:hAnsi="宋体" w:cs="宋体"/>
                <w:szCs w:val="21"/>
              </w:rPr>
            </w:pPr>
          </w:p>
        </w:tc>
      </w:tr>
    </w:tbl>
    <w:p w14:paraId="125AF431">
      <w:pPr>
        <w:spacing w:before="50"/>
        <w:jc w:val="left"/>
        <w:rPr>
          <w:rFonts w:ascii="宋体" w:hAnsi="宋体" w:cs="宋体"/>
          <w:szCs w:val="21"/>
        </w:rPr>
      </w:pPr>
      <w:r>
        <w:rPr>
          <w:rFonts w:hint="eastAsia" w:ascii="宋体" w:hAnsi="宋体" w:cs="宋体"/>
          <w:szCs w:val="21"/>
        </w:rPr>
        <w:t>注：在填写时，如本表格不适合供应商的实际情况，可根据本表格式自行制表补充填写。</w:t>
      </w:r>
    </w:p>
    <w:p w14:paraId="25F0BEE0">
      <w:pPr>
        <w:spacing w:before="50" w:after="50"/>
        <w:rPr>
          <w:rFonts w:ascii="宋体" w:hAnsi="宋体" w:cs="宋体"/>
          <w:szCs w:val="21"/>
        </w:rPr>
      </w:pPr>
    </w:p>
    <w:p w14:paraId="30AC2C9C">
      <w:pPr>
        <w:spacing w:before="50" w:after="50"/>
        <w:rPr>
          <w:rFonts w:ascii="宋体" w:hAnsi="宋体" w:cs="宋体"/>
          <w:spacing w:val="20"/>
          <w:szCs w:val="21"/>
          <w:u w:val="single"/>
        </w:rPr>
      </w:pPr>
      <w:r>
        <w:rPr>
          <w:rFonts w:hint="eastAsia" w:ascii="宋体" w:hAnsi="宋体" w:cs="宋体"/>
          <w:szCs w:val="21"/>
        </w:rPr>
        <w:t>法定代表人或</w:t>
      </w:r>
      <w:r>
        <w:rPr>
          <w:rFonts w:hint="eastAsia" w:ascii="宋体" w:hAnsi="宋体" w:cs="宋体"/>
        </w:rPr>
        <w:t>委托代理人</w:t>
      </w:r>
      <w:r>
        <w:rPr>
          <w:rFonts w:hint="eastAsia" w:ascii="宋体" w:hAnsi="宋体" w:cs="宋体"/>
          <w:spacing w:val="20"/>
          <w:szCs w:val="21"/>
        </w:rPr>
        <w:t>签名：</w:t>
      </w:r>
      <w:r>
        <w:rPr>
          <w:rFonts w:hint="eastAsia" w:ascii="宋体" w:hAnsi="宋体" w:cs="宋体"/>
          <w:spacing w:val="20"/>
          <w:szCs w:val="21"/>
          <w:u w:val="single"/>
        </w:rPr>
        <w:t xml:space="preserve">        </w:t>
      </w:r>
    </w:p>
    <w:p w14:paraId="2C100B79">
      <w:pPr>
        <w:autoSpaceDE w:val="0"/>
        <w:autoSpaceDN w:val="0"/>
        <w:spacing w:line="300" w:lineRule="auto"/>
        <w:ind w:left="480" w:hanging="480"/>
        <w:rPr>
          <w:rFonts w:ascii="宋体" w:hAnsi="宋体" w:cs="宋体"/>
          <w:spacing w:val="20"/>
          <w:szCs w:val="21"/>
        </w:rPr>
      </w:pPr>
      <w:r>
        <w:rPr>
          <w:rFonts w:hint="eastAsia" w:ascii="宋体" w:hAnsi="宋体" w:cs="宋体"/>
          <w:spacing w:val="20"/>
          <w:szCs w:val="21"/>
        </w:rPr>
        <w:t>供应商（公章）：</w:t>
      </w:r>
    </w:p>
    <w:p w14:paraId="171B9A56">
      <w:pPr>
        <w:autoSpaceDE w:val="0"/>
        <w:autoSpaceDN w:val="0"/>
        <w:spacing w:line="300" w:lineRule="auto"/>
        <w:ind w:left="480" w:hanging="480"/>
        <w:rPr>
          <w:rFonts w:ascii="宋体" w:hAnsi="宋体" w:cs="宋体"/>
          <w:spacing w:val="20"/>
          <w:szCs w:val="21"/>
          <w:u w:val="single"/>
        </w:rPr>
      </w:pPr>
      <w:r>
        <w:rPr>
          <w:rFonts w:hint="eastAsia" w:ascii="宋体" w:hAnsi="宋体" w:cs="宋体"/>
          <w:szCs w:val="21"/>
        </w:rPr>
        <w:t>日期：      年    月    日</w:t>
      </w:r>
      <w:r>
        <w:rPr>
          <w:rFonts w:hint="eastAsia" w:ascii="宋体" w:hAnsi="宋体" w:cs="宋体"/>
          <w:spacing w:val="20"/>
          <w:szCs w:val="21"/>
          <w:u w:val="single"/>
        </w:rPr>
        <w:t xml:space="preserve">      </w:t>
      </w:r>
    </w:p>
    <w:p w14:paraId="6B6E88A0">
      <w:pPr>
        <w:autoSpaceDE w:val="0"/>
        <w:autoSpaceDN w:val="0"/>
        <w:spacing w:line="300" w:lineRule="auto"/>
        <w:ind w:left="480" w:hanging="480"/>
        <w:rPr>
          <w:rFonts w:ascii="宋体" w:hAnsi="宋体" w:cs="宋体"/>
          <w:spacing w:val="20"/>
          <w:szCs w:val="21"/>
          <w:u w:val="single"/>
        </w:rPr>
      </w:pPr>
    </w:p>
    <w:p w14:paraId="59729F34">
      <w:pPr>
        <w:pStyle w:val="41"/>
        <w:ind w:left="422" w:hanging="422"/>
        <w:rPr>
          <w:rFonts w:ascii="宋体" w:hAnsi="宋体" w:cs="宋体"/>
          <w:sz w:val="21"/>
          <w:szCs w:val="21"/>
        </w:rPr>
      </w:pPr>
      <w:r>
        <w:rPr>
          <w:rFonts w:hint="eastAsia" w:ascii="宋体" w:hAnsi="宋体" w:cs="宋体"/>
          <w:b/>
          <w:bCs/>
          <w:sz w:val="21"/>
          <w:szCs w:val="21"/>
        </w:rPr>
        <w:t>磋商供应商同类项目实施情况一览表格式：</w:t>
      </w:r>
    </w:p>
    <w:tbl>
      <w:tblPr>
        <w:tblStyle w:val="54"/>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74"/>
        <w:gridCol w:w="1335"/>
        <w:gridCol w:w="956"/>
        <w:gridCol w:w="721"/>
        <w:gridCol w:w="1515"/>
        <w:gridCol w:w="1191"/>
        <w:gridCol w:w="1076"/>
        <w:gridCol w:w="1288"/>
      </w:tblGrid>
      <w:tr w14:paraId="42CBF6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329" w:hRule="atLeast"/>
        </w:trPr>
        <w:tc>
          <w:tcPr>
            <w:tcW w:w="1174" w:type="dxa"/>
            <w:tcBorders>
              <w:top w:val="single" w:color="auto" w:sz="4" w:space="0"/>
              <w:left w:val="single" w:color="auto" w:sz="4" w:space="0"/>
              <w:bottom w:val="single" w:color="auto" w:sz="4" w:space="0"/>
              <w:right w:val="single" w:color="auto" w:sz="4" w:space="0"/>
            </w:tcBorders>
            <w:vAlign w:val="center"/>
          </w:tcPr>
          <w:p w14:paraId="095779A8">
            <w:pPr>
              <w:spacing w:line="240" w:lineRule="exact"/>
              <w:jc w:val="center"/>
              <w:rPr>
                <w:rFonts w:ascii="宋体" w:hAnsi="宋体" w:cs="宋体"/>
                <w:szCs w:val="21"/>
              </w:rPr>
            </w:pPr>
            <w:r>
              <w:rPr>
                <w:rFonts w:hint="eastAsia" w:ascii="宋体" w:hAnsi="宋体" w:cs="宋体"/>
                <w:szCs w:val="21"/>
              </w:rPr>
              <w:t>采购人名称</w:t>
            </w:r>
          </w:p>
        </w:tc>
        <w:tc>
          <w:tcPr>
            <w:tcW w:w="1335" w:type="dxa"/>
            <w:tcBorders>
              <w:top w:val="single" w:color="auto" w:sz="4" w:space="0"/>
              <w:left w:val="single" w:color="auto" w:sz="4" w:space="0"/>
              <w:bottom w:val="single" w:color="auto" w:sz="4" w:space="0"/>
              <w:right w:val="single" w:color="auto" w:sz="4" w:space="0"/>
            </w:tcBorders>
            <w:vAlign w:val="center"/>
          </w:tcPr>
          <w:p w14:paraId="28EF01CC">
            <w:pPr>
              <w:spacing w:line="240" w:lineRule="exact"/>
              <w:jc w:val="center"/>
              <w:rPr>
                <w:rFonts w:ascii="宋体" w:hAnsi="宋体" w:cs="宋体"/>
                <w:szCs w:val="21"/>
              </w:rPr>
            </w:pPr>
            <w:r>
              <w:rPr>
                <w:rFonts w:hint="eastAsia" w:ascii="宋体" w:hAnsi="宋体" w:cs="宋体"/>
                <w:szCs w:val="21"/>
              </w:rPr>
              <w:t>服务名称</w:t>
            </w:r>
          </w:p>
        </w:tc>
        <w:tc>
          <w:tcPr>
            <w:tcW w:w="956" w:type="dxa"/>
            <w:tcBorders>
              <w:top w:val="single" w:color="auto" w:sz="4" w:space="0"/>
              <w:left w:val="single" w:color="auto" w:sz="4" w:space="0"/>
              <w:bottom w:val="single" w:color="auto" w:sz="4" w:space="0"/>
              <w:right w:val="single" w:color="auto" w:sz="4" w:space="0"/>
            </w:tcBorders>
            <w:vAlign w:val="center"/>
          </w:tcPr>
          <w:p w14:paraId="05D83763">
            <w:pPr>
              <w:spacing w:line="240" w:lineRule="exact"/>
              <w:jc w:val="center"/>
              <w:rPr>
                <w:rFonts w:ascii="宋体" w:hAnsi="宋体" w:cs="宋体"/>
                <w:szCs w:val="21"/>
              </w:rPr>
            </w:pPr>
            <w:r>
              <w:rPr>
                <w:rFonts w:hint="eastAsia" w:ascii="宋体" w:hAnsi="宋体" w:cs="宋体"/>
                <w:szCs w:val="21"/>
              </w:rPr>
              <w:t>采购</w:t>
            </w:r>
          </w:p>
          <w:p w14:paraId="3827F83A">
            <w:pPr>
              <w:spacing w:line="240" w:lineRule="exact"/>
              <w:jc w:val="center"/>
              <w:rPr>
                <w:rFonts w:ascii="宋体" w:hAnsi="宋体" w:cs="宋体"/>
                <w:szCs w:val="21"/>
              </w:rPr>
            </w:pPr>
            <w:r>
              <w:rPr>
                <w:rFonts w:hint="eastAsia" w:ascii="宋体" w:hAnsi="宋体" w:cs="宋体"/>
                <w:szCs w:val="21"/>
              </w:rPr>
              <w:t>数量</w:t>
            </w:r>
          </w:p>
        </w:tc>
        <w:tc>
          <w:tcPr>
            <w:tcW w:w="721" w:type="dxa"/>
            <w:tcBorders>
              <w:top w:val="single" w:color="auto" w:sz="4" w:space="0"/>
              <w:left w:val="single" w:color="auto" w:sz="4" w:space="0"/>
              <w:bottom w:val="single" w:color="auto" w:sz="4" w:space="0"/>
              <w:right w:val="single" w:color="auto" w:sz="4" w:space="0"/>
            </w:tcBorders>
            <w:vAlign w:val="center"/>
          </w:tcPr>
          <w:p w14:paraId="76562BDC">
            <w:pPr>
              <w:spacing w:line="240" w:lineRule="exact"/>
              <w:jc w:val="center"/>
              <w:rPr>
                <w:rFonts w:ascii="宋体" w:hAnsi="宋体" w:cs="宋体"/>
                <w:szCs w:val="21"/>
              </w:rPr>
            </w:pPr>
            <w:r>
              <w:rPr>
                <w:rFonts w:hint="eastAsia" w:ascii="宋体" w:hAnsi="宋体" w:cs="宋体"/>
                <w:szCs w:val="21"/>
              </w:rPr>
              <w:t>单价</w:t>
            </w:r>
          </w:p>
        </w:tc>
        <w:tc>
          <w:tcPr>
            <w:tcW w:w="1515" w:type="dxa"/>
            <w:tcBorders>
              <w:top w:val="single" w:color="auto" w:sz="4" w:space="0"/>
              <w:left w:val="single" w:color="auto" w:sz="4" w:space="0"/>
              <w:bottom w:val="single" w:color="auto" w:sz="4" w:space="0"/>
              <w:right w:val="single" w:color="auto" w:sz="4" w:space="0"/>
            </w:tcBorders>
            <w:vAlign w:val="center"/>
          </w:tcPr>
          <w:p w14:paraId="60E3B7F4">
            <w:pPr>
              <w:spacing w:line="240" w:lineRule="exact"/>
              <w:jc w:val="center"/>
              <w:rPr>
                <w:rFonts w:ascii="宋体" w:hAnsi="宋体" w:cs="宋体"/>
                <w:szCs w:val="21"/>
              </w:rPr>
            </w:pPr>
            <w:r>
              <w:rPr>
                <w:rFonts w:hint="eastAsia" w:ascii="宋体" w:hAnsi="宋体" w:cs="宋体"/>
                <w:szCs w:val="21"/>
              </w:rPr>
              <w:t>合同金额</w:t>
            </w:r>
          </w:p>
          <w:p w14:paraId="4F60EEA8">
            <w:pPr>
              <w:spacing w:line="240" w:lineRule="exact"/>
              <w:jc w:val="center"/>
              <w:rPr>
                <w:rFonts w:ascii="宋体" w:hAnsi="宋体" w:cs="宋体"/>
                <w:szCs w:val="21"/>
              </w:rPr>
            </w:pPr>
            <w:r>
              <w:rPr>
                <w:rFonts w:hint="eastAsia" w:ascii="宋体" w:hAnsi="宋体" w:cs="宋体"/>
                <w:szCs w:val="21"/>
              </w:rPr>
              <w:t>（万元）</w:t>
            </w:r>
          </w:p>
        </w:tc>
        <w:tc>
          <w:tcPr>
            <w:tcW w:w="1191" w:type="dxa"/>
            <w:tcBorders>
              <w:top w:val="single" w:color="auto" w:sz="4" w:space="0"/>
              <w:left w:val="single" w:color="auto" w:sz="4" w:space="0"/>
              <w:right w:val="single" w:color="auto" w:sz="4" w:space="0"/>
            </w:tcBorders>
            <w:vAlign w:val="center"/>
          </w:tcPr>
          <w:p w14:paraId="0968538E">
            <w:pPr>
              <w:spacing w:line="240" w:lineRule="exact"/>
              <w:jc w:val="center"/>
              <w:rPr>
                <w:rFonts w:ascii="宋体" w:hAnsi="宋体" w:cs="宋体"/>
                <w:szCs w:val="21"/>
              </w:rPr>
            </w:pPr>
            <w:r>
              <w:rPr>
                <w:rFonts w:hint="eastAsia" w:ascii="宋体" w:hAnsi="宋体" w:cs="宋体"/>
                <w:szCs w:val="21"/>
              </w:rPr>
              <w:t>内容（合同或中标通知书）</w:t>
            </w:r>
          </w:p>
        </w:tc>
        <w:tc>
          <w:tcPr>
            <w:tcW w:w="1076" w:type="dxa"/>
            <w:tcBorders>
              <w:top w:val="single" w:color="auto" w:sz="4" w:space="0"/>
              <w:left w:val="single" w:color="auto" w:sz="4" w:space="0"/>
              <w:bottom w:val="single" w:color="auto" w:sz="4" w:space="0"/>
              <w:right w:val="single" w:color="auto" w:sz="4" w:space="0"/>
            </w:tcBorders>
            <w:vAlign w:val="center"/>
          </w:tcPr>
          <w:p w14:paraId="286D7335">
            <w:pPr>
              <w:spacing w:line="240" w:lineRule="exact"/>
              <w:jc w:val="center"/>
              <w:rPr>
                <w:rFonts w:ascii="宋体" w:hAnsi="宋体" w:cs="宋体"/>
                <w:szCs w:val="21"/>
              </w:rPr>
            </w:pPr>
            <w:r>
              <w:rPr>
                <w:rFonts w:hint="eastAsia" w:ascii="宋体" w:hAnsi="宋体" w:cs="宋体"/>
                <w:szCs w:val="21"/>
              </w:rPr>
              <w:t>附件</w:t>
            </w:r>
          </w:p>
          <w:p w14:paraId="6899AD35">
            <w:pPr>
              <w:spacing w:line="240" w:lineRule="exact"/>
              <w:jc w:val="center"/>
              <w:rPr>
                <w:rFonts w:ascii="宋体" w:hAnsi="宋体" w:cs="宋体"/>
                <w:szCs w:val="21"/>
              </w:rPr>
            </w:pPr>
            <w:r>
              <w:rPr>
                <w:rFonts w:hint="eastAsia" w:ascii="宋体" w:hAnsi="宋体" w:cs="宋体"/>
                <w:szCs w:val="21"/>
              </w:rPr>
              <w:t>页码</w:t>
            </w:r>
          </w:p>
        </w:tc>
        <w:tc>
          <w:tcPr>
            <w:tcW w:w="1288" w:type="dxa"/>
            <w:tcBorders>
              <w:top w:val="single" w:color="auto" w:sz="4" w:space="0"/>
              <w:left w:val="single" w:color="auto" w:sz="4" w:space="0"/>
              <w:bottom w:val="single" w:color="auto" w:sz="4" w:space="0"/>
              <w:right w:val="single" w:color="auto" w:sz="4" w:space="0"/>
            </w:tcBorders>
            <w:vAlign w:val="center"/>
          </w:tcPr>
          <w:p w14:paraId="672D053D">
            <w:pPr>
              <w:spacing w:line="240" w:lineRule="exact"/>
              <w:jc w:val="center"/>
              <w:rPr>
                <w:rFonts w:ascii="宋体" w:hAnsi="宋体" w:cs="宋体"/>
                <w:szCs w:val="21"/>
              </w:rPr>
            </w:pPr>
            <w:r>
              <w:rPr>
                <w:rFonts w:hint="eastAsia" w:ascii="宋体" w:hAnsi="宋体" w:cs="宋体"/>
                <w:szCs w:val="21"/>
              </w:rPr>
              <w:t xml:space="preserve"> 联系人及</w:t>
            </w:r>
          </w:p>
          <w:p w14:paraId="48A2B43C">
            <w:pPr>
              <w:spacing w:line="240" w:lineRule="exact"/>
              <w:jc w:val="center"/>
              <w:rPr>
                <w:rFonts w:ascii="宋体" w:hAnsi="宋体" w:cs="宋体"/>
                <w:szCs w:val="21"/>
              </w:rPr>
            </w:pPr>
            <w:r>
              <w:rPr>
                <w:rFonts w:hint="eastAsia" w:ascii="宋体" w:hAnsi="宋体" w:cs="宋体"/>
                <w:szCs w:val="21"/>
              </w:rPr>
              <w:t>联系电话</w:t>
            </w:r>
          </w:p>
        </w:tc>
      </w:tr>
      <w:tr w14:paraId="53885F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174" w:type="dxa"/>
            <w:tcBorders>
              <w:top w:val="single" w:color="auto" w:sz="4" w:space="0"/>
              <w:left w:val="single" w:color="auto" w:sz="4" w:space="0"/>
              <w:bottom w:val="single" w:color="auto" w:sz="4" w:space="0"/>
              <w:right w:val="single" w:color="auto" w:sz="4" w:space="0"/>
            </w:tcBorders>
          </w:tcPr>
          <w:p w14:paraId="6A375F69">
            <w:pPr>
              <w:spacing w:line="240" w:lineRule="exact"/>
              <w:jc w:val="left"/>
              <w:rPr>
                <w:rFonts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tcPr>
          <w:p w14:paraId="00E74573">
            <w:pPr>
              <w:spacing w:line="240" w:lineRule="exact"/>
              <w:jc w:val="left"/>
              <w:rPr>
                <w:rFonts w:ascii="宋体" w:hAnsi="宋体" w:cs="宋体"/>
                <w:szCs w:val="21"/>
              </w:rPr>
            </w:pPr>
          </w:p>
        </w:tc>
        <w:tc>
          <w:tcPr>
            <w:tcW w:w="956" w:type="dxa"/>
            <w:tcBorders>
              <w:top w:val="single" w:color="auto" w:sz="4" w:space="0"/>
              <w:left w:val="single" w:color="auto" w:sz="4" w:space="0"/>
              <w:bottom w:val="single" w:color="auto" w:sz="4" w:space="0"/>
              <w:right w:val="single" w:color="auto" w:sz="4" w:space="0"/>
            </w:tcBorders>
          </w:tcPr>
          <w:p w14:paraId="4037A0C4">
            <w:pPr>
              <w:spacing w:line="240" w:lineRule="exact"/>
              <w:jc w:val="left"/>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tcPr>
          <w:p w14:paraId="57C01801">
            <w:pPr>
              <w:spacing w:line="240" w:lineRule="exact"/>
              <w:jc w:val="left"/>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tcPr>
          <w:p w14:paraId="1172B1EF">
            <w:pPr>
              <w:spacing w:line="240" w:lineRule="exact"/>
              <w:jc w:val="left"/>
              <w:rPr>
                <w:rFonts w:ascii="宋体" w:hAnsi="宋体" w:cs="宋体"/>
                <w:szCs w:val="21"/>
              </w:rPr>
            </w:pPr>
          </w:p>
        </w:tc>
        <w:tc>
          <w:tcPr>
            <w:tcW w:w="1191" w:type="dxa"/>
            <w:tcBorders>
              <w:top w:val="single" w:color="auto" w:sz="4" w:space="0"/>
              <w:left w:val="single" w:color="auto" w:sz="4" w:space="0"/>
              <w:bottom w:val="single" w:color="auto" w:sz="4" w:space="0"/>
              <w:right w:val="single" w:color="auto" w:sz="4" w:space="0"/>
            </w:tcBorders>
          </w:tcPr>
          <w:p w14:paraId="1BAEC3F5">
            <w:pPr>
              <w:spacing w:line="240" w:lineRule="exact"/>
              <w:jc w:val="left"/>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tcPr>
          <w:p w14:paraId="24DA7321">
            <w:pPr>
              <w:spacing w:line="240" w:lineRule="exact"/>
              <w:jc w:val="left"/>
              <w:rPr>
                <w:rFonts w:ascii="宋体" w:hAnsi="宋体" w:cs="宋体"/>
                <w:szCs w:val="21"/>
              </w:rPr>
            </w:pPr>
          </w:p>
        </w:tc>
        <w:tc>
          <w:tcPr>
            <w:tcW w:w="1288" w:type="dxa"/>
            <w:tcBorders>
              <w:top w:val="single" w:color="auto" w:sz="4" w:space="0"/>
              <w:left w:val="single" w:color="auto" w:sz="4" w:space="0"/>
              <w:bottom w:val="single" w:color="auto" w:sz="4" w:space="0"/>
              <w:right w:val="single" w:color="auto" w:sz="4" w:space="0"/>
            </w:tcBorders>
          </w:tcPr>
          <w:p w14:paraId="3E018000">
            <w:pPr>
              <w:spacing w:line="240" w:lineRule="exact"/>
              <w:jc w:val="left"/>
              <w:rPr>
                <w:rFonts w:ascii="宋体" w:hAnsi="宋体" w:cs="宋体"/>
                <w:szCs w:val="21"/>
              </w:rPr>
            </w:pPr>
          </w:p>
        </w:tc>
      </w:tr>
      <w:tr w14:paraId="5C915B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174" w:type="dxa"/>
            <w:tcBorders>
              <w:top w:val="single" w:color="auto" w:sz="4" w:space="0"/>
              <w:left w:val="single" w:color="auto" w:sz="4" w:space="0"/>
              <w:bottom w:val="single" w:color="auto" w:sz="4" w:space="0"/>
              <w:right w:val="single" w:color="auto" w:sz="4" w:space="0"/>
            </w:tcBorders>
          </w:tcPr>
          <w:p w14:paraId="70AD3A99">
            <w:pPr>
              <w:spacing w:before="50" w:line="400" w:lineRule="exact"/>
              <w:jc w:val="left"/>
              <w:rPr>
                <w:rFonts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tcPr>
          <w:p w14:paraId="3F9F8B4B">
            <w:pPr>
              <w:spacing w:before="50" w:line="400" w:lineRule="exact"/>
              <w:jc w:val="left"/>
              <w:rPr>
                <w:rFonts w:ascii="宋体" w:hAnsi="宋体" w:cs="宋体"/>
                <w:szCs w:val="21"/>
              </w:rPr>
            </w:pPr>
          </w:p>
        </w:tc>
        <w:tc>
          <w:tcPr>
            <w:tcW w:w="956" w:type="dxa"/>
            <w:tcBorders>
              <w:top w:val="single" w:color="auto" w:sz="4" w:space="0"/>
              <w:left w:val="single" w:color="auto" w:sz="4" w:space="0"/>
              <w:bottom w:val="single" w:color="auto" w:sz="4" w:space="0"/>
              <w:right w:val="single" w:color="auto" w:sz="4" w:space="0"/>
            </w:tcBorders>
          </w:tcPr>
          <w:p w14:paraId="2A8EBBA0">
            <w:pPr>
              <w:spacing w:before="50" w:line="400" w:lineRule="exact"/>
              <w:jc w:val="left"/>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tcPr>
          <w:p w14:paraId="5FBB6977">
            <w:pPr>
              <w:spacing w:before="50" w:line="400" w:lineRule="exact"/>
              <w:jc w:val="left"/>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tcPr>
          <w:p w14:paraId="13AEA38E">
            <w:pPr>
              <w:spacing w:before="50" w:line="400" w:lineRule="exact"/>
              <w:jc w:val="left"/>
              <w:rPr>
                <w:rFonts w:ascii="宋体" w:hAnsi="宋体" w:cs="宋体"/>
                <w:szCs w:val="21"/>
              </w:rPr>
            </w:pPr>
          </w:p>
        </w:tc>
        <w:tc>
          <w:tcPr>
            <w:tcW w:w="1191" w:type="dxa"/>
            <w:tcBorders>
              <w:top w:val="single" w:color="auto" w:sz="4" w:space="0"/>
              <w:left w:val="single" w:color="auto" w:sz="4" w:space="0"/>
              <w:bottom w:val="single" w:color="auto" w:sz="4" w:space="0"/>
              <w:right w:val="single" w:color="auto" w:sz="4" w:space="0"/>
            </w:tcBorders>
          </w:tcPr>
          <w:p w14:paraId="0A4C31A6">
            <w:pPr>
              <w:spacing w:before="50" w:line="400" w:lineRule="exact"/>
              <w:jc w:val="left"/>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tcPr>
          <w:p w14:paraId="30D6FECF">
            <w:pPr>
              <w:spacing w:before="50" w:line="400" w:lineRule="exact"/>
              <w:jc w:val="left"/>
              <w:rPr>
                <w:rFonts w:ascii="宋体" w:hAnsi="宋体" w:cs="宋体"/>
                <w:szCs w:val="21"/>
              </w:rPr>
            </w:pPr>
          </w:p>
        </w:tc>
        <w:tc>
          <w:tcPr>
            <w:tcW w:w="1288" w:type="dxa"/>
            <w:tcBorders>
              <w:top w:val="single" w:color="auto" w:sz="4" w:space="0"/>
              <w:left w:val="single" w:color="auto" w:sz="4" w:space="0"/>
              <w:bottom w:val="single" w:color="auto" w:sz="4" w:space="0"/>
              <w:right w:val="single" w:color="auto" w:sz="4" w:space="0"/>
            </w:tcBorders>
          </w:tcPr>
          <w:p w14:paraId="38FE01A7">
            <w:pPr>
              <w:spacing w:before="50" w:line="400" w:lineRule="exact"/>
              <w:jc w:val="left"/>
              <w:rPr>
                <w:rFonts w:ascii="宋体" w:hAnsi="宋体" w:cs="宋体"/>
                <w:szCs w:val="21"/>
              </w:rPr>
            </w:pPr>
          </w:p>
        </w:tc>
      </w:tr>
      <w:tr w14:paraId="5108B3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174" w:type="dxa"/>
            <w:tcBorders>
              <w:top w:val="single" w:color="auto" w:sz="4" w:space="0"/>
              <w:left w:val="single" w:color="auto" w:sz="4" w:space="0"/>
              <w:bottom w:val="single" w:color="auto" w:sz="4" w:space="0"/>
              <w:right w:val="single" w:color="auto" w:sz="4" w:space="0"/>
            </w:tcBorders>
          </w:tcPr>
          <w:p w14:paraId="671B61E2">
            <w:pPr>
              <w:spacing w:before="50" w:line="400" w:lineRule="exact"/>
              <w:jc w:val="left"/>
              <w:rPr>
                <w:rFonts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tcPr>
          <w:p w14:paraId="5D9B84CB">
            <w:pPr>
              <w:spacing w:before="50" w:line="400" w:lineRule="exact"/>
              <w:jc w:val="left"/>
              <w:rPr>
                <w:rFonts w:ascii="宋体" w:hAnsi="宋体" w:cs="宋体"/>
                <w:szCs w:val="21"/>
              </w:rPr>
            </w:pPr>
          </w:p>
        </w:tc>
        <w:tc>
          <w:tcPr>
            <w:tcW w:w="956" w:type="dxa"/>
            <w:tcBorders>
              <w:top w:val="single" w:color="auto" w:sz="4" w:space="0"/>
              <w:left w:val="single" w:color="auto" w:sz="4" w:space="0"/>
              <w:bottom w:val="single" w:color="auto" w:sz="4" w:space="0"/>
              <w:right w:val="single" w:color="auto" w:sz="4" w:space="0"/>
            </w:tcBorders>
          </w:tcPr>
          <w:p w14:paraId="3A1DB96D">
            <w:pPr>
              <w:spacing w:before="50" w:line="400" w:lineRule="exact"/>
              <w:jc w:val="left"/>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tcPr>
          <w:p w14:paraId="03D21A20">
            <w:pPr>
              <w:spacing w:before="50" w:line="400" w:lineRule="exact"/>
              <w:jc w:val="left"/>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tcPr>
          <w:p w14:paraId="6A437106">
            <w:pPr>
              <w:spacing w:before="50" w:line="400" w:lineRule="exact"/>
              <w:jc w:val="left"/>
              <w:rPr>
                <w:rFonts w:ascii="宋体" w:hAnsi="宋体" w:cs="宋体"/>
                <w:szCs w:val="21"/>
              </w:rPr>
            </w:pPr>
          </w:p>
        </w:tc>
        <w:tc>
          <w:tcPr>
            <w:tcW w:w="1191" w:type="dxa"/>
            <w:tcBorders>
              <w:top w:val="single" w:color="auto" w:sz="4" w:space="0"/>
              <w:left w:val="single" w:color="auto" w:sz="4" w:space="0"/>
              <w:bottom w:val="single" w:color="auto" w:sz="4" w:space="0"/>
              <w:right w:val="single" w:color="auto" w:sz="4" w:space="0"/>
            </w:tcBorders>
          </w:tcPr>
          <w:p w14:paraId="0EE02593">
            <w:pPr>
              <w:spacing w:before="50" w:line="400" w:lineRule="exact"/>
              <w:jc w:val="left"/>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tcPr>
          <w:p w14:paraId="18095CED">
            <w:pPr>
              <w:spacing w:before="50" w:line="400" w:lineRule="exact"/>
              <w:jc w:val="left"/>
              <w:rPr>
                <w:rFonts w:ascii="宋体" w:hAnsi="宋体" w:cs="宋体"/>
                <w:szCs w:val="21"/>
              </w:rPr>
            </w:pPr>
          </w:p>
        </w:tc>
        <w:tc>
          <w:tcPr>
            <w:tcW w:w="1288" w:type="dxa"/>
            <w:tcBorders>
              <w:top w:val="single" w:color="auto" w:sz="4" w:space="0"/>
              <w:left w:val="single" w:color="auto" w:sz="4" w:space="0"/>
              <w:bottom w:val="single" w:color="auto" w:sz="4" w:space="0"/>
              <w:right w:val="single" w:color="auto" w:sz="4" w:space="0"/>
            </w:tcBorders>
          </w:tcPr>
          <w:p w14:paraId="60585257">
            <w:pPr>
              <w:spacing w:before="50" w:line="400" w:lineRule="exact"/>
              <w:jc w:val="left"/>
              <w:rPr>
                <w:rFonts w:ascii="宋体" w:hAnsi="宋体" w:cs="宋体"/>
                <w:szCs w:val="21"/>
              </w:rPr>
            </w:pPr>
          </w:p>
        </w:tc>
      </w:tr>
      <w:tr w14:paraId="44BB9E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174" w:type="dxa"/>
            <w:tcBorders>
              <w:top w:val="single" w:color="auto" w:sz="4" w:space="0"/>
              <w:left w:val="single" w:color="auto" w:sz="4" w:space="0"/>
              <w:bottom w:val="single" w:color="auto" w:sz="4" w:space="0"/>
              <w:right w:val="single" w:color="auto" w:sz="4" w:space="0"/>
            </w:tcBorders>
          </w:tcPr>
          <w:p w14:paraId="41DCA402">
            <w:pPr>
              <w:spacing w:before="50" w:line="400" w:lineRule="exact"/>
              <w:jc w:val="left"/>
              <w:rPr>
                <w:rFonts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tcPr>
          <w:p w14:paraId="7149BAE6">
            <w:pPr>
              <w:spacing w:before="50" w:line="400" w:lineRule="exact"/>
              <w:jc w:val="left"/>
              <w:rPr>
                <w:rFonts w:ascii="宋体" w:hAnsi="宋体" w:cs="宋体"/>
                <w:szCs w:val="21"/>
              </w:rPr>
            </w:pPr>
          </w:p>
        </w:tc>
        <w:tc>
          <w:tcPr>
            <w:tcW w:w="956" w:type="dxa"/>
            <w:tcBorders>
              <w:top w:val="single" w:color="auto" w:sz="4" w:space="0"/>
              <w:left w:val="single" w:color="auto" w:sz="4" w:space="0"/>
              <w:bottom w:val="single" w:color="auto" w:sz="4" w:space="0"/>
              <w:right w:val="single" w:color="auto" w:sz="4" w:space="0"/>
            </w:tcBorders>
          </w:tcPr>
          <w:p w14:paraId="34EB29E3">
            <w:pPr>
              <w:spacing w:before="50" w:line="400" w:lineRule="exact"/>
              <w:jc w:val="left"/>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tcPr>
          <w:p w14:paraId="4D7B41BB">
            <w:pPr>
              <w:spacing w:before="50" w:line="400" w:lineRule="exact"/>
              <w:jc w:val="left"/>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tcPr>
          <w:p w14:paraId="5E60713F">
            <w:pPr>
              <w:spacing w:before="50" w:line="400" w:lineRule="exact"/>
              <w:jc w:val="left"/>
              <w:rPr>
                <w:rFonts w:ascii="宋体" w:hAnsi="宋体" w:cs="宋体"/>
                <w:szCs w:val="21"/>
              </w:rPr>
            </w:pPr>
          </w:p>
        </w:tc>
        <w:tc>
          <w:tcPr>
            <w:tcW w:w="1191" w:type="dxa"/>
            <w:tcBorders>
              <w:top w:val="single" w:color="auto" w:sz="4" w:space="0"/>
              <w:left w:val="single" w:color="auto" w:sz="4" w:space="0"/>
              <w:bottom w:val="single" w:color="auto" w:sz="4" w:space="0"/>
              <w:right w:val="single" w:color="auto" w:sz="4" w:space="0"/>
            </w:tcBorders>
          </w:tcPr>
          <w:p w14:paraId="72CC172E">
            <w:pPr>
              <w:spacing w:before="50" w:line="400" w:lineRule="exact"/>
              <w:jc w:val="left"/>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tcPr>
          <w:p w14:paraId="2E42FB58">
            <w:pPr>
              <w:spacing w:before="50" w:line="400" w:lineRule="exact"/>
              <w:jc w:val="left"/>
              <w:rPr>
                <w:rFonts w:ascii="宋体" w:hAnsi="宋体" w:cs="宋体"/>
                <w:szCs w:val="21"/>
              </w:rPr>
            </w:pPr>
          </w:p>
        </w:tc>
        <w:tc>
          <w:tcPr>
            <w:tcW w:w="1288" w:type="dxa"/>
            <w:tcBorders>
              <w:top w:val="single" w:color="auto" w:sz="4" w:space="0"/>
              <w:left w:val="single" w:color="auto" w:sz="4" w:space="0"/>
              <w:bottom w:val="single" w:color="auto" w:sz="4" w:space="0"/>
              <w:right w:val="single" w:color="auto" w:sz="4" w:space="0"/>
            </w:tcBorders>
          </w:tcPr>
          <w:p w14:paraId="317A8831">
            <w:pPr>
              <w:spacing w:before="50" w:line="400" w:lineRule="exact"/>
              <w:jc w:val="left"/>
              <w:rPr>
                <w:rFonts w:ascii="宋体" w:hAnsi="宋体" w:cs="宋体"/>
                <w:szCs w:val="21"/>
              </w:rPr>
            </w:pPr>
          </w:p>
        </w:tc>
      </w:tr>
      <w:tr w14:paraId="19C31D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174" w:type="dxa"/>
            <w:tcBorders>
              <w:top w:val="single" w:color="auto" w:sz="4" w:space="0"/>
              <w:left w:val="single" w:color="auto" w:sz="4" w:space="0"/>
              <w:bottom w:val="single" w:color="auto" w:sz="4" w:space="0"/>
              <w:right w:val="single" w:color="auto" w:sz="4" w:space="0"/>
            </w:tcBorders>
          </w:tcPr>
          <w:p w14:paraId="6FD15F2F">
            <w:pPr>
              <w:spacing w:before="50" w:line="400" w:lineRule="exact"/>
              <w:jc w:val="left"/>
              <w:rPr>
                <w:rFonts w:ascii="宋体" w:hAnsi="宋体" w:cs="宋体"/>
                <w:szCs w:val="21"/>
              </w:rPr>
            </w:pPr>
          </w:p>
        </w:tc>
        <w:tc>
          <w:tcPr>
            <w:tcW w:w="1335" w:type="dxa"/>
            <w:tcBorders>
              <w:top w:val="single" w:color="auto" w:sz="4" w:space="0"/>
              <w:left w:val="single" w:color="auto" w:sz="4" w:space="0"/>
              <w:bottom w:val="single" w:color="auto" w:sz="4" w:space="0"/>
              <w:right w:val="single" w:color="auto" w:sz="4" w:space="0"/>
            </w:tcBorders>
          </w:tcPr>
          <w:p w14:paraId="797D828F">
            <w:pPr>
              <w:spacing w:before="50" w:line="400" w:lineRule="exact"/>
              <w:jc w:val="left"/>
              <w:rPr>
                <w:rFonts w:ascii="宋体" w:hAnsi="宋体" w:cs="宋体"/>
                <w:szCs w:val="21"/>
              </w:rPr>
            </w:pPr>
          </w:p>
        </w:tc>
        <w:tc>
          <w:tcPr>
            <w:tcW w:w="956" w:type="dxa"/>
            <w:tcBorders>
              <w:top w:val="single" w:color="auto" w:sz="4" w:space="0"/>
              <w:left w:val="single" w:color="auto" w:sz="4" w:space="0"/>
              <w:bottom w:val="single" w:color="auto" w:sz="4" w:space="0"/>
              <w:right w:val="single" w:color="auto" w:sz="4" w:space="0"/>
            </w:tcBorders>
          </w:tcPr>
          <w:p w14:paraId="6FC35DE6">
            <w:pPr>
              <w:spacing w:before="50" w:line="400" w:lineRule="exact"/>
              <w:jc w:val="left"/>
              <w:rPr>
                <w:rFonts w:ascii="宋体" w:hAnsi="宋体" w:cs="宋体"/>
                <w:szCs w:val="21"/>
              </w:rPr>
            </w:pPr>
          </w:p>
        </w:tc>
        <w:tc>
          <w:tcPr>
            <w:tcW w:w="721" w:type="dxa"/>
            <w:tcBorders>
              <w:top w:val="single" w:color="auto" w:sz="4" w:space="0"/>
              <w:left w:val="single" w:color="auto" w:sz="4" w:space="0"/>
              <w:bottom w:val="single" w:color="auto" w:sz="4" w:space="0"/>
              <w:right w:val="single" w:color="auto" w:sz="4" w:space="0"/>
            </w:tcBorders>
          </w:tcPr>
          <w:p w14:paraId="55CF427F">
            <w:pPr>
              <w:spacing w:before="50" w:line="400" w:lineRule="exact"/>
              <w:jc w:val="left"/>
              <w:rPr>
                <w:rFonts w:ascii="宋体" w:hAnsi="宋体" w:cs="宋体"/>
                <w:szCs w:val="21"/>
              </w:rPr>
            </w:pPr>
          </w:p>
        </w:tc>
        <w:tc>
          <w:tcPr>
            <w:tcW w:w="1515" w:type="dxa"/>
            <w:tcBorders>
              <w:top w:val="single" w:color="auto" w:sz="4" w:space="0"/>
              <w:left w:val="single" w:color="auto" w:sz="4" w:space="0"/>
              <w:bottom w:val="single" w:color="auto" w:sz="4" w:space="0"/>
              <w:right w:val="single" w:color="auto" w:sz="4" w:space="0"/>
            </w:tcBorders>
          </w:tcPr>
          <w:p w14:paraId="20B06CF6">
            <w:pPr>
              <w:spacing w:before="50" w:line="400" w:lineRule="exact"/>
              <w:jc w:val="left"/>
              <w:rPr>
                <w:rFonts w:ascii="宋体" w:hAnsi="宋体" w:cs="宋体"/>
                <w:szCs w:val="21"/>
              </w:rPr>
            </w:pPr>
          </w:p>
        </w:tc>
        <w:tc>
          <w:tcPr>
            <w:tcW w:w="1191" w:type="dxa"/>
            <w:tcBorders>
              <w:top w:val="single" w:color="auto" w:sz="4" w:space="0"/>
              <w:left w:val="single" w:color="auto" w:sz="4" w:space="0"/>
              <w:bottom w:val="single" w:color="auto" w:sz="4" w:space="0"/>
              <w:right w:val="single" w:color="auto" w:sz="4" w:space="0"/>
            </w:tcBorders>
          </w:tcPr>
          <w:p w14:paraId="2F3E0BB9">
            <w:pPr>
              <w:spacing w:before="50" w:line="400" w:lineRule="exact"/>
              <w:jc w:val="left"/>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tcPr>
          <w:p w14:paraId="22941B13">
            <w:pPr>
              <w:spacing w:before="50" w:line="400" w:lineRule="exact"/>
              <w:jc w:val="left"/>
              <w:rPr>
                <w:rFonts w:ascii="宋体" w:hAnsi="宋体" w:cs="宋体"/>
                <w:szCs w:val="21"/>
              </w:rPr>
            </w:pPr>
          </w:p>
        </w:tc>
        <w:tc>
          <w:tcPr>
            <w:tcW w:w="1288" w:type="dxa"/>
            <w:tcBorders>
              <w:top w:val="single" w:color="auto" w:sz="4" w:space="0"/>
              <w:left w:val="single" w:color="auto" w:sz="4" w:space="0"/>
              <w:bottom w:val="single" w:color="auto" w:sz="4" w:space="0"/>
              <w:right w:val="single" w:color="auto" w:sz="4" w:space="0"/>
            </w:tcBorders>
          </w:tcPr>
          <w:p w14:paraId="421F5720">
            <w:pPr>
              <w:spacing w:before="50" w:line="400" w:lineRule="exact"/>
              <w:jc w:val="left"/>
              <w:rPr>
                <w:rFonts w:ascii="宋体" w:hAnsi="宋体" w:cs="宋体"/>
                <w:szCs w:val="21"/>
              </w:rPr>
            </w:pPr>
          </w:p>
        </w:tc>
      </w:tr>
    </w:tbl>
    <w:p w14:paraId="64233658">
      <w:pPr>
        <w:spacing w:before="50" w:after="50"/>
        <w:rPr>
          <w:rFonts w:ascii="宋体" w:hAnsi="宋体" w:cs="宋体"/>
          <w:spacing w:val="20"/>
          <w:szCs w:val="21"/>
          <w:u w:val="single"/>
        </w:rPr>
      </w:pPr>
      <w:r>
        <w:rPr>
          <w:rFonts w:hint="eastAsia" w:ascii="宋体" w:hAnsi="宋体" w:cs="宋体"/>
          <w:szCs w:val="21"/>
        </w:rPr>
        <w:t>法定代表人或</w:t>
      </w:r>
      <w:r>
        <w:rPr>
          <w:rFonts w:hint="eastAsia" w:ascii="宋体" w:hAnsi="宋体" w:cs="宋体"/>
        </w:rPr>
        <w:t>委托代理人</w:t>
      </w:r>
      <w:r>
        <w:rPr>
          <w:rFonts w:hint="eastAsia" w:ascii="宋体" w:hAnsi="宋体" w:cs="宋体"/>
          <w:spacing w:val="20"/>
          <w:szCs w:val="21"/>
        </w:rPr>
        <w:t>签名：</w:t>
      </w:r>
      <w:r>
        <w:rPr>
          <w:rFonts w:hint="eastAsia" w:ascii="宋体" w:hAnsi="宋体" w:cs="宋体"/>
          <w:spacing w:val="20"/>
          <w:szCs w:val="21"/>
          <w:u w:val="single"/>
        </w:rPr>
        <w:t xml:space="preserve">        </w:t>
      </w:r>
    </w:p>
    <w:p w14:paraId="46735F64">
      <w:pPr>
        <w:autoSpaceDE w:val="0"/>
        <w:autoSpaceDN w:val="0"/>
        <w:spacing w:line="300" w:lineRule="auto"/>
        <w:ind w:left="480" w:hanging="480"/>
        <w:rPr>
          <w:rFonts w:ascii="宋体" w:hAnsi="宋体" w:cs="宋体"/>
          <w:spacing w:val="20"/>
          <w:szCs w:val="21"/>
        </w:rPr>
      </w:pPr>
      <w:r>
        <w:rPr>
          <w:rFonts w:hint="eastAsia" w:ascii="宋体" w:hAnsi="宋体" w:cs="宋体"/>
          <w:spacing w:val="20"/>
          <w:szCs w:val="21"/>
        </w:rPr>
        <w:t>供应商（公章）：</w:t>
      </w:r>
    </w:p>
    <w:p w14:paraId="0C4D3C04">
      <w:pPr>
        <w:autoSpaceDE w:val="0"/>
        <w:autoSpaceDN w:val="0"/>
        <w:spacing w:line="300" w:lineRule="auto"/>
        <w:rPr>
          <w:rFonts w:ascii="宋体" w:hAnsi="宋体" w:cs="宋体"/>
          <w:szCs w:val="21"/>
        </w:rPr>
      </w:pPr>
      <w:r>
        <w:rPr>
          <w:rFonts w:hint="eastAsia" w:ascii="宋体" w:hAnsi="宋体" w:cs="宋体"/>
          <w:szCs w:val="21"/>
        </w:rPr>
        <w:t>日期：      年    月    日</w:t>
      </w:r>
    </w:p>
    <w:p w14:paraId="25A13E58">
      <w:pPr>
        <w:autoSpaceDE w:val="0"/>
        <w:autoSpaceDN w:val="0"/>
        <w:spacing w:line="300" w:lineRule="auto"/>
        <w:jc w:val="center"/>
        <w:rPr>
          <w:rFonts w:ascii="宋体" w:hAnsi="宋体" w:cs="宋体"/>
          <w:szCs w:val="21"/>
        </w:rPr>
      </w:pPr>
    </w:p>
    <w:p w14:paraId="2F534933">
      <w:pPr>
        <w:autoSpaceDE w:val="0"/>
        <w:autoSpaceDN w:val="0"/>
        <w:spacing w:line="300" w:lineRule="auto"/>
        <w:jc w:val="center"/>
        <w:rPr>
          <w:rFonts w:ascii="宋体" w:hAnsi="宋体" w:cs="宋体"/>
          <w:szCs w:val="21"/>
        </w:rPr>
      </w:pPr>
    </w:p>
    <w:p w14:paraId="4A45AF8E">
      <w:pPr>
        <w:autoSpaceDE w:val="0"/>
        <w:autoSpaceDN w:val="0"/>
        <w:spacing w:line="300" w:lineRule="auto"/>
        <w:jc w:val="center"/>
        <w:rPr>
          <w:rFonts w:ascii="宋体" w:hAnsi="宋体" w:cs="宋体"/>
          <w:szCs w:val="21"/>
        </w:rPr>
      </w:pPr>
    </w:p>
    <w:p w14:paraId="46533ED2">
      <w:pPr>
        <w:pStyle w:val="232"/>
        <w:ind w:firstLine="420"/>
        <w:rPr>
          <w:rFonts w:ascii="宋体"/>
          <w:szCs w:val="21"/>
        </w:rPr>
      </w:pPr>
    </w:p>
    <w:p w14:paraId="3D2F1036">
      <w:pPr>
        <w:autoSpaceDE w:val="0"/>
        <w:autoSpaceDN w:val="0"/>
        <w:spacing w:line="300" w:lineRule="auto"/>
        <w:jc w:val="center"/>
        <w:rPr>
          <w:rFonts w:ascii="宋体" w:hAnsi="宋体" w:cs="宋体"/>
          <w:szCs w:val="21"/>
        </w:rPr>
      </w:pPr>
    </w:p>
    <w:p w14:paraId="58CD5A42">
      <w:pPr>
        <w:autoSpaceDE w:val="0"/>
        <w:autoSpaceDN w:val="0"/>
        <w:spacing w:line="300" w:lineRule="auto"/>
        <w:jc w:val="center"/>
        <w:rPr>
          <w:rFonts w:ascii="宋体" w:hAnsi="宋体" w:cs="宋体"/>
          <w:b/>
          <w:bCs/>
          <w:sz w:val="24"/>
        </w:rPr>
      </w:pPr>
      <w:r>
        <w:rPr>
          <w:rFonts w:hint="eastAsia" w:ascii="宋体" w:hAnsi="宋体" w:cs="宋体"/>
          <w:b/>
          <w:bCs/>
          <w:sz w:val="24"/>
        </w:rPr>
        <w:t>近三年在经营活动中没有重大违法记录的书面声明</w:t>
      </w:r>
    </w:p>
    <w:p w14:paraId="4F6775E6">
      <w:pPr>
        <w:pStyle w:val="319"/>
        <w:spacing w:before="0" w:beforeAutospacing="0" w:after="0" w:afterAutospacing="0" w:line="400" w:lineRule="exact"/>
      </w:pPr>
    </w:p>
    <w:p w14:paraId="5BD800C8">
      <w:pPr>
        <w:pStyle w:val="319"/>
        <w:spacing w:before="0" w:beforeAutospacing="0" w:after="0" w:afterAutospacing="0" w:line="400" w:lineRule="exact"/>
      </w:pPr>
      <w:r>
        <w:rPr>
          <w:rFonts w:hint="eastAsia"/>
        </w:rPr>
        <w:t>致：</w:t>
      </w:r>
      <w:r>
        <w:rPr>
          <w:rFonts w:hint="eastAsia"/>
          <w:u w:val="single"/>
        </w:rPr>
        <w:t>（采购人）</w:t>
      </w:r>
    </w:p>
    <w:p w14:paraId="4B2594C5">
      <w:pPr>
        <w:pStyle w:val="319"/>
        <w:spacing w:before="0" w:beforeAutospacing="0" w:after="0" w:afterAutospacing="0" w:line="400" w:lineRule="exact"/>
        <w:ind w:firstLine="480" w:firstLineChars="200"/>
      </w:pPr>
      <w:r>
        <w:rPr>
          <w:rFonts w:hint="eastAsia"/>
        </w:rPr>
        <w:t> </w:t>
      </w:r>
    </w:p>
    <w:p w14:paraId="580C277F">
      <w:pPr>
        <w:pStyle w:val="319"/>
        <w:shd w:val="clear" w:color="auto" w:fill="FFFFFF"/>
        <w:spacing w:before="0" w:beforeAutospacing="0" w:after="0" w:afterAutospacing="0" w:line="500" w:lineRule="exact"/>
        <w:ind w:firstLine="480" w:firstLineChars="200"/>
      </w:pPr>
      <w:r>
        <w:rPr>
          <w:rFonts w:hint="eastAsia"/>
        </w:rPr>
        <w:t>本公司</w:t>
      </w:r>
      <w:r>
        <w:rPr>
          <w:rFonts w:hint="eastAsia"/>
          <w:u w:val="single"/>
        </w:rPr>
        <w:t>（公司名称）</w:t>
      </w:r>
      <w:r>
        <w:rPr>
          <w:rFonts w:hint="eastAsia"/>
        </w:rPr>
        <w:t>参加</w:t>
      </w:r>
      <w:r>
        <w:rPr>
          <w:rFonts w:hint="eastAsia"/>
          <w:u w:val="single"/>
        </w:rPr>
        <w:t>（项目名称）（项目编号）</w:t>
      </w:r>
      <w:r>
        <w:rPr>
          <w:rFonts w:hint="eastAsia"/>
        </w:rPr>
        <w:t>的磋商活动，现承诺我公司在参加本项目采购活动前三年内，在经营活动中没有重大违法记录。</w:t>
      </w:r>
    </w:p>
    <w:p w14:paraId="54185026">
      <w:pPr>
        <w:pStyle w:val="319"/>
        <w:shd w:val="clear" w:color="auto" w:fill="FFFFFF"/>
        <w:spacing w:before="0" w:beforeAutospacing="0" w:after="0" w:afterAutospacing="0" w:line="400" w:lineRule="exact"/>
        <w:ind w:firstLine="480" w:firstLineChars="200"/>
      </w:pPr>
      <w:r>
        <w:rPr>
          <w:rFonts w:hint="eastAsia"/>
        </w:rPr>
        <w:t> </w:t>
      </w:r>
    </w:p>
    <w:p w14:paraId="0413C26D">
      <w:pPr>
        <w:pStyle w:val="319"/>
        <w:shd w:val="clear" w:color="auto" w:fill="FFFFFF"/>
        <w:spacing w:before="0" w:beforeAutospacing="0" w:after="0" w:afterAutospacing="0" w:line="400" w:lineRule="exact"/>
        <w:ind w:firstLine="480" w:firstLineChars="200"/>
      </w:pPr>
      <w:r>
        <w:rPr>
          <w:rFonts w:hint="eastAsia"/>
        </w:rPr>
        <w:t>如违反以上承诺，本公司愿承担一切法律责任。</w:t>
      </w:r>
    </w:p>
    <w:p w14:paraId="4C3F3948">
      <w:pPr>
        <w:pStyle w:val="319"/>
        <w:shd w:val="clear" w:color="auto" w:fill="FFFFFF"/>
        <w:spacing w:before="0" w:beforeAutospacing="0" w:after="0" w:afterAutospacing="0" w:line="400" w:lineRule="exact"/>
        <w:ind w:firstLine="480" w:firstLineChars="200"/>
      </w:pPr>
      <w:r>
        <w:rPr>
          <w:rFonts w:hint="eastAsia"/>
        </w:rPr>
        <w:t> </w:t>
      </w:r>
    </w:p>
    <w:p w14:paraId="25B1F04B">
      <w:pPr>
        <w:pStyle w:val="319"/>
        <w:shd w:val="clear" w:color="auto" w:fill="FFFFFF"/>
        <w:spacing w:before="0" w:beforeAutospacing="0" w:after="0" w:afterAutospacing="0" w:line="400" w:lineRule="exact"/>
        <w:ind w:firstLine="480" w:firstLineChars="200"/>
      </w:pPr>
      <w:r>
        <w:rPr>
          <w:rFonts w:hint="eastAsia"/>
        </w:rPr>
        <w:t> </w:t>
      </w:r>
    </w:p>
    <w:p w14:paraId="6B8C8AA9">
      <w:pPr>
        <w:pStyle w:val="319"/>
        <w:shd w:val="clear" w:color="auto" w:fill="FFFFFF"/>
        <w:spacing w:before="0" w:beforeAutospacing="0" w:after="0" w:afterAutospacing="0" w:line="400" w:lineRule="exact"/>
        <w:ind w:firstLine="480" w:firstLineChars="200"/>
      </w:pPr>
    </w:p>
    <w:p w14:paraId="50109388">
      <w:pPr>
        <w:pStyle w:val="319"/>
        <w:shd w:val="clear" w:color="auto" w:fill="FFFFFF"/>
        <w:spacing w:before="0" w:beforeAutospacing="0" w:after="0" w:afterAutospacing="0" w:line="400" w:lineRule="exact"/>
        <w:ind w:firstLine="480" w:firstLineChars="200"/>
      </w:pPr>
    </w:p>
    <w:p w14:paraId="0B055EA4">
      <w:pPr>
        <w:pStyle w:val="319"/>
        <w:shd w:val="clear" w:color="auto" w:fill="FFFFFF"/>
        <w:spacing w:before="0" w:beforeAutospacing="0" w:after="0" w:afterAutospacing="0" w:line="400" w:lineRule="exact"/>
        <w:ind w:firstLine="480" w:firstLineChars="200"/>
      </w:pPr>
    </w:p>
    <w:p w14:paraId="5735F56F">
      <w:pPr>
        <w:pStyle w:val="319"/>
        <w:shd w:val="clear" w:color="auto" w:fill="FFFFFF"/>
        <w:spacing w:before="0" w:beforeAutospacing="0" w:after="0" w:afterAutospacing="0" w:line="400" w:lineRule="exact"/>
        <w:ind w:firstLine="480" w:firstLineChars="200"/>
      </w:pPr>
    </w:p>
    <w:p w14:paraId="39A4664B">
      <w:pPr>
        <w:pStyle w:val="319"/>
        <w:shd w:val="clear" w:color="auto" w:fill="FFFFFF"/>
        <w:wordWrap w:val="0"/>
        <w:spacing w:before="0" w:beforeAutospacing="0" w:after="0" w:afterAutospacing="0" w:line="400" w:lineRule="exact"/>
        <w:ind w:firstLine="480" w:firstLineChars="200"/>
        <w:jc w:val="right"/>
      </w:pPr>
      <w:r>
        <w:rPr>
          <w:rFonts w:hint="eastAsia"/>
        </w:rPr>
        <w:t>供应商（公章）：</w:t>
      </w:r>
    </w:p>
    <w:p w14:paraId="40A81B74">
      <w:pPr>
        <w:pStyle w:val="319"/>
        <w:shd w:val="clear" w:color="auto" w:fill="FFFFFF"/>
        <w:spacing w:before="0" w:beforeAutospacing="0" w:after="0" w:afterAutospacing="0" w:line="400" w:lineRule="exact"/>
        <w:ind w:firstLine="480" w:firstLineChars="200"/>
        <w:jc w:val="right"/>
      </w:pPr>
      <w:r>
        <w:rPr>
          <w:rFonts w:hint="eastAsia"/>
        </w:rPr>
        <w:t> </w:t>
      </w:r>
    </w:p>
    <w:p w14:paraId="17BCA3F1">
      <w:pPr>
        <w:pStyle w:val="319"/>
        <w:shd w:val="clear" w:color="auto" w:fill="FFFFFF"/>
        <w:spacing w:before="0" w:beforeAutospacing="0" w:after="0" w:afterAutospacing="0" w:line="400" w:lineRule="exact"/>
        <w:ind w:firstLine="480" w:firstLineChars="200"/>
        <w:jc w:val="right"/>
      </w:pPr>
      <w:r>
        <w:rPr>
          <w:rFonts w:hint="eastAsia"/>
        </w:rPr>
        <w:t> 法定代表人或委托代理人（签字）：</w:t>
      </w:r>
    </w:p>
    <w:p w14:paraId="4ABAC824">
      <w:pPr>
        <w:pStyle w:val="319"/>
        <w:shd w:val="clear" w:color="auto" w:fill="FFFFFF"/>
        <w:spacing w:before="0" w:beforeAutospacing="0" w:after="0" w:afterAutospacing="0" w:line="400" w:lineRule="exact"/>
        <w:ind w:firstLine="480" w:firstLineChars="200"/>
        <w:jc w:val="right"/>
      </w:pPr>
      <w:r>
        <w:rPr>
          <w:rFonts w:hint="eastAsia"/>
        </w:rPr>
        <w:t>  </w:t>
      </w:r>
    </w:p>
    <w:p w14:paraId="74F2021A">
      <w:pPr>
        <w:spacing w:after="50"/>
        <w:jc w:val="right"/>
        <w:rPr>
          <w:rFonts w:ascii="宋体" w:hAnsi="宋体" w:cs="宋体"/>
          <w:sz w:val="24"/>
        </w:rPr>
      </w:pPr>
      <w:r>
        <w:rPr>
          <w:rFonts w:hint="eastAsia" w:ascii="宋体" w:hAnsi="宋体" w:cs="宋体"/>
          <w:sz w:val="24"/>
        </w:rPr>
        <w:t>日期：      年     月     日</w:t>
      </w:r>
    </w:p>
    <w:p w14:paraId="60A961D0">
      <w:pPr>
        <w:pStyle w:val="80"/>
        <w:ind w:firstLine="0" w:firstLineChars="0"/>
        <w:jc w:val="center"/>
        <w:rPr>
          <w:rFonts w:ascii="宋体" w:hAnsi="宋体" w:cs="宋体"/>
          <w:bCs/>
          <w:szCs w:val="21"/>
        </w:rPr>
      </w:pPr>
      <w:r>
        <w:rPr>
          <w:rFonts w:hint="eastAsia" w:ascii="宋体" w:hAnsi="宋体" w:cs="宋体"/>
        </w:rPr>
        <w:br w:type="page"/>
      </w:r>
    </w:p>
    <w:p w14:paraId="38807FE1">
      <w:pPr>
        <w:spacing w:line="220" w:lineRule="atLeast"/>
        <w:jc w:val="center"/>
        <w:rPr>
          <w:rFonts w:ascii="宋体" w:hAnsi="宋体"/>
          <w:b/>
          <w:sz w:val="30"/>
          <w:szCs w:val="30"/>
        </w:rPr>
      </w:pPr>
      <w:r>
        <w:rPr>
          <w:rFonts w:hint="eastAsia" w:ascii="宋体" w:hAnsi="宋体"/>
          <w:b/>
          <w:sz w:val="30"/>
          <w:szCs w:val="30"/>
        </w:rPr>
        <w:t>供应商直接控股、管理关系信息表</w:t>
      </w:r>
    </w:p>
    <w:p w14:paraId="5BD12023">
      <w:pPr>
        <w:spacing w:line="220" w:lineRule="atLeast"/>
        <w:jc w:val="center"/>
        <w:rPr>
          <w:rFonts w:ascii="宋体" w:hAnsi="宋体"/>
          <w:b/>
          <w:szCs w:val="21"/>
        </w:rPr>
      </w:pPr>
    </w:p>
    <w:p w14:paraId="28E85059">
      <w:pPr>
        <w:spacing w:line="220" w:lineRule="atLeast"/>
        <w:jc w:val="center"/>
        <w:rPr>
          <w:rFonts w:ascii="宋体" w:hAnsi="宋体"/>
          <w:b/>
          <w:szCs w:val="21"/>
        </w:rPr>
      </w:pPr>
      <w:r>
        <w:rPr>
          <w:rFonts w:hint="eastAsia" w:ascii="宋体" w:hAnsi="宋体"/>
          <w:b/>
          <w:szCs w:val="21"/>
        </w:rPr>
        <w:t>1.供应商直接控股股东信息表</w:t>
      </w:r>
    </w:p>
    <w:tbl>
      <w:tblPr>
        <w:tblStyle w:val="54"/>
        <w:tblW w:w="0" w:type="auto"/>
        <w:tblInd w:w="-132" w:type="dxa"/>
        <w:tblLayout w:type="fixed"/>
        <w:tblCellMar>
          <w:top w:w="120" w:type="dxa"/>
          <w:left w:w="120" w:type="dxa"/>
          <w:bottom w:w="120" w:type="dxa"/>
          <w:right w:w="120" w:type="dxa"/>
        </w:tblCellMar>
      </w:tblPr>
      <w:tblGrid>
        <w:gridCol w:w="818"/>
        <w:gridCol w:w="2243"/>
        <w:gridCol w:w="1224"/>
        <w:gridCol w:w="3682"/>
        <w:gridCol w:w="1402"/>
      </w:tblGrid>
      <w:tr w14:paraId="57A4EAD5">
        <w:trPr>
          <w:trHeight w:val="84" w:hRule="atLeast"/>
        </w:trPr>
        <w:tc>
          <w:tcPr>
            <w:tcW w:w="81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D5AD8B">
            <w:pPr>
              <w:rPr>
                <w:rFonts w:ascii="宋体" w:hAnsi="宋体"/>
                <w:b/>
                <w:bCs/>
                <w:szCs w:val="21"/>
              </w:rPr>
            </w:pPr>
            <w:r>
              <w:rPr>
                <w:rFonts w:hint="eastAsia" w:ascii="宋体" w:hAnsi="宋体"/>
                <w:b/>
                <w:bCs/>
                <w:szCs w:val="21"/>
              </w:rPr>
              <w:t>序号</w:t>
            </w:r>
          </w:p>
        </w:tc>
        <w:tc>
          <w:tcPr>
            <w:tcW w:w="2243"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1698BB31">
            <w:pPr>
              <w:rPr>
                <w:rFonts w:ascii="宋体" w:hAnsi="宋体"/>
                <w:b/>
                <w:bCs/>
                <w:szCs w:val="21"/>
              </w:rPr>
            </w:pPr>
            <w:r>
              <w:rPr>
                <w:rFonts w:hint="eastAsia" w:ascii="宋体" w:hAnsi="宋体"/>
                <w:b/>
                <w:bCs/>
                <w:szCs w:val="21"/>
              </w:rPr>
              <w:t>直接控股股东名称</w:t>
            </w:r>
          </w:p>
        </w:tc>
        <w:tc>
          <w:tcPr>
            <w:tcW w:w="1224"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2BC472CD">
            <w:pPr>
              <w:rPr>
                <w:rFonts w:ascii="宋体" w:hAnsi="宋体"/>
                <w:b/>
                <w:bCs/>
                <w:szCs w:val="21"/>
              </w:rPr>
            </w:pPr>
            <w:r>
              <w:rPr>
                <w:rFonts w:hint="eastAsia" w:ascii="宋体" w:hAnsi="宋体"/>
                <w:b/>
                <w:bCs/>
                <w:szCs w:val="21"/>
              </w:rPr>
              <w:t>出资比例</w:t>
            </w:r>
          </w:p>
        </w:tc>
        <w:tc>
          <w:tcPr>
            <w:tcW w:w="368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5154902D">
            <w:pPr>
              <w:rPr>
                <w:rFonts w:ascii="宋体" w:hAnsi="宋体"/>
                <w:b/>
                <w:bCs/>
                <w:szCs w:val="21"/>
              </w:rPr>
            </w:pPr>
            <w:r>
              <w:rPr>
                <w:rFonts w:hint="eastAsia" w:ascii="宋体" w:hAnsi="宋体"/>
                <w:b/>
                <w:bCs/>
                <w:szCs w:val="21"/>
              </w:rPr>
              <w:t>身份证号码或统一社会信用代码</w:t>
            </w:r>
          </w:p>
        </w:tc>
        <w:tc>
          <w:tcPr>
            <w:tcW w:w="140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032817DF">
            <w:pPr>
              <w:rPr>
                <w:rFonts w:ascii="宋体" w:hAnsi="宋体"/>
                <w:b/>
                <w:bCs/>
                <w:szCs w:val="21"/>
              </w:rPr>
            </w:pPr>
            <w:r>
              <w:rPr>
                <w:rFonts w:hint="eastAsia" w:ascii="宋体" w:hAnsi="宋体"/>
                <w:b/>
                <w:bCs/>
                <w:szCs w:val="21"/>
              </w:rPr>
              <w:t>备注</w:t>
            </w:r>
          </w:p>
        </w:tc>
      </w:tr>
      <w:tr w14:paraId="30282D19">
        <w:tblPrEx>
          <w:tblCellMar>
            <w:top w:w="120" w:type="dxa"/>
            <w:left w:w="120" w:type="dxa"/>
            <w:bottom w:w="120" w:type="dxa"/>
            <w:right w:w="120" w:type="dxa"/>
          </w:tblCellMar>
        </w:tblPrEx>
        <w:trPr>
          <w:trHeight w:val="64" w:hRule="atLeast"/>
        </w:trPr>
        <w:tc>
          <w:tcPr>
            <w:tcW w:w="81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DE1C2C">
            <w:pPr>
              <w:jc w:val="center"/>
              <w:rPr>
                <w:rFonts w:ascii="宋体" w:hAnsi="宋体"/>
                <w:szCs w:val="21"/>
              </w:rPr>
            </w:pPr>
            <w:r>
              <w:rPr>
                <w:rFonts w:hint="eastAsia" w:ascii="宋体" w:hAnsi="宋体"/>
                <w:szCs w:val="21"/>
              </w:rPr>
              <w:t>1</w:t>
            </w:r>
          </w:p>
        </w:tc>
        <w:tc>
          <w:tcPr>
            <w:tcW w:w="2243"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414F0BC9">
            <w:pPr>
              <w:rPr>
                <w:rFonts w:ascii="宋体" w:hAnsi="宋体"/>
                <w:szCs w:val="21"/>
              </w:rPr>
            </w:pPr>
          </w:p>
        </w:tc>
        <w:tc>
          <w:tcPr>
            <w:tcW w:w="1224"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6F923809">
            <w:pPr>
              <w:rPr>
                <w:rFonts w:ascii="宋体" w:hAnsi="宋体"/>
                <w:szCs w:val="21"/>
              </w:rPr>
            </w:pPr>
          </w:p>
        </w:tc>
        <w:tc>
          <w:tcPr>
            <w:tcW w:w="368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50087270">
            <w:pPr>
              <w:rPr>
                <w:rFonts w:ascii="宋体" w:hAnsi="宋体"/>
                <w:szCs w:val="21"/>
              </w:rPr>
            </w:pPr>
          </w:p>
        </w:tc>
        <w:tc>
          <w:tcPr>
            <w:tcW w:w="140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3740E682">
            <w:pPr>
              <w:rPr>
                <w:rFonts w:ascii="宋体" w:hAnsi="宋体"/>
                <w:szCs w:val="21"/>
              </w:rPr>
            </w:pPr>
          </w:p>
        </w:tc>
      </w:tr>
      <w:tr w14:paraId="4F2A60A8">
        <w:trPr>
          <w:trHeight w:val="277" w:hRule="atLeast"/>
        </w:trPr>
        <w:tc>
          <w:tcPr>
            <w:tcW w:w="81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00E508">
            <w:pPr>
              <w:jc w:val="center"/>
              <w:rPr>
                <w:rFonts w:ascii="宋体" w:hAnsi="宋体"/>
                <w:szCs w:val="21"/>
              </w:rPr>
            </w:pPr>
            <w:r>
              <w:rPr>
                <w:rFonts w:hint="eastAsia" w:ascii="宋体" w:hAnsi="宋体"/>
                <w:szCs w:val="21"/>
              </w:rPr>
              <w:t>2</w:t>
            </w:r>
          </w:p>
        </w:tc>
        <w:tc>
          <w:tcPr>
            <w:tcW w:w="2243"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250CDC48">
            <w:pPr>
              <w:rPr>
                <w:rFonts w:ascii="宋体" w:hAnsi="宋体"/>
                <w:szCs w:val="21"/>
              </w:rPr>
            </w:pPr>
          </w:p>
        </w:tc>
        <w:tc>
          <w:tcPr>
            <w:tcW w:w="1224"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08DAABB1">
            <w:pPr>
              <w:rPr>
                <w:rFonts w:ascii="宋体" w:hAnsi="宋体"/>
                <w:szCs w:val="21"/>
              </w:rPr>
            </w:pPr>
          </w:p>
        </w:tc>
        <w:tc>
          <w:tcPr>
            <w:tcW w:w="368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70D31FE9">
            <w:pPr>
              <w:rPr>
                <w:rFonts w:ascii="宋体" w:hAnsi="宋体"/>
                <w:szCs w:val="21"/>
              </w:rPr>
            </w:pPr>
          </w:p>
        </w:tc>
        <w:tc>
          <w:tcPr>
            <w:tcW w:w="140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033067A4">
            <w:pPr>
              <w:rPr>
                <w:rFonts w:ascii="宋体" w:hAnsi="宋体"/>
                <w:szCs w:val="21"/>
              </w:rPr>
            </w:pPr>
          </w:p>
        </w:tc>
      </w:tr>
      <w:tr w14:paraId="7F89A349">
        <w:trPr>
          <w:trHeight w:val="227" w:hRule="atLeast"/>
        </w:trPr>
        <w:tc>
          <w:tcPr>
            <w:tcW w:w="81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986215">
            <w:pPr>
              <w:rPr>
                <w:rFonts w:ascii="宋体" w:hAnsi="宋体"/>
                <w:szCs w:val="21"/>
              </w:rPr>
            </w:pPr>
            <w:r>
              <w:rPr>
                <w:rFonts w:hint="eastAsia" w:ascii="宋体" w:hAnsi="宋体"/>
                <w:szCs w:val="21"/>
              </w:rPr>
              <w:t>……</w:t>
            </w:r>
          </w:p>
        </w:tc>
        <w:tc>
          <w:tcPr>
            <w:tcW w:w="2243"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13B1E457">
            <w:pPr>
              <w:rPr>
                <w:rFonts w:ascii="宋体" w:hAnsi="宋体"/>
                <w:szCs w:val="21"/>
              </w:rPr>
            </w:pPr>
          </w:p>
        </w:tc>
        <w:tc>
          <w:tcPr>
            <w:tcW w:w="1224"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440751A9">
            <w:pPr>
              <w:rPr>
                <w:rFonts w:ascii="宋体" w:hAnsi="宋体"/>
                <w:szCs w:val="21"/>
              </w:rPr>
            </w:pPr>
          </w:p>
        </w:tc>
        <w:tc>
          <w:tcPr>
            <w:tcW w:w="368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19A7DEC2">
            <w:pPr>
              <w:rPr>
                <w:rFonts w:ascii="宋体" w:hAnsi="宋体"/>
                <w:szCs w:val="21"/>
              </w:rPr>
            </w:pPr>
          </w:p>
        </w:tc>
        <w:tc>
          <w:tcPr>
            <w:tcW w:w="1402" w:type="dxa"/>
            <w:tcBorders>
              <w:top w:val="single" w:color="auto" w:sz="4" w:space="0"/>
              <w:left w:val="nil"/>
              <w:bottom w:val="single" w:color="auto" w:sz="4" w:space="0"/>
              <w:right w:val="single" w:color="auto" w:sz="4" w:space="0"/>
            </w:tcBorders>
            <w:shd w:val="clear" w:color="auto" w:fill="FBFBFB"/>
            <w:tcMar>
              <w:top w:w="120" w:type="dxa"/>
              <w:left w:w="120" w:type="dxa"/>
              <w:bottom w:w="120" w:type="dxa"/>
              <w:right w:w="120" w:type="dxa"/>
            </w:tcMar>
            <w:vAlign w:val="center"/>
          </w:tcPr>
          <w:p w14:paraId="4280BABC">
            <w:pPr>
              <w:rPr>
                <w:rFonts w:ascii="宋体" w:hAnsi="宋体"/>
                <w:szCs w:val="21"/>
              </w:rPr>
            </w:pPr>
          </w:p>
        </w:tc>
      </w:tr>
    </w:tbl>
    <w:p w14:paraId="478EDA72">
      <w:pPr>
        <w:spacing w:line="324" w:lineRule="auto"/>
        <w:rPr>
          <w:rFonts w:ascii="宋体" w:hAnsi="宋体"/>
          <w:szCs w:val="21"/>
        </w:rPr>
      </w:pPr>
      <w:r>
        <w:rPr>
          <w:rFonts w:hint="eastAsia" w:ascii="宋体" w:hAnsi="宋体"/>
          <w:szCs w:val="21"/>
        </w:rPr>
        <w:t>注：</w:t>
      </w:r>
    </w:p>
    <w:p w14:paraId="3664EF81">
      <w:pPr>
        <w:spacing w:line="324" w:lineRule="auto"/>
        <w:rPr>
          <w:rFonts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95A97EC">
      <w:pPr>
        <w:spacing w:line="324" w:lineRule="auto"/>
        <w:rPr>
          <w:rFonts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09863DAB">
      <w:pPr>
        <w:spacing w:line="360" w:lineRule="auto"/>
        <w:ind w:firstLine="4935" w:firstLineChars="2350"/>
        <w:rPr>
          <w:rFonts w:ascii="宋体" w:hAnsi="宋体"/>
          <w:szCs w:val="21"/>
          <w:u w:val="single"/>
        </w:rPr>
      </w:pPr>
      <w:r>
        <w:rPr>
          <w:rFonts w:hint="eastAsia" w:ascii="宋体" w:hAnsi="宋体"/>
          <w:szCs w:val="21"/>
        </w:rPr>
        <w:t>法定代表人或委托代理人签字：</w:t>
      </w:r>
    </w:p>
    <w:p w14:paraId="2613DBC7">
      <w:pPr>
        <w:spacing w:line="360" w:lineRule="auto"/>
        <w:ind w:firstLine="5460" w:firstLineChars="2600"/>
        <w:rPr>
          <w:rFonts w:ascii="宋体" w:hAns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p>
    <w:p w14:paraId="368E4EFC">
      <w:pPr>
        <w:spacing w:line="360" w:lineRule="auto"/>
        <w:jc w:val="right"/>
        <w:rPr>
          <w:rFonts w:ascii="宋体" w:hAnsi="宋体"/>
          <w:szCs w:val="21"/>
        </w:rPr>
      </w:pPr>
      <w:r>
        <w:rPr>
          <w:rFonts w:hint="eastAsia" w:ascii="宋体" w:hAnsi="宋体"/>
          <w:szCs w:val="21"/>
        </w:rPr>
        <w:t>年    月    日</w:t>
      </w:r>
    </w:p>
    <w:p w14:paraId="6CD146E4">
      <w:pPr>
        <w:spacing w:line="220" w:lineRule="atLeast"/>
        <w:rPr>
          <w:rFonts w:ascii="宋体" w:hAnsi="宋体"/>
          <w:b/>
          <w:szCs w:val="21"/>
        </w:rPr>
      </w:pPr>
    </w:p>
    <w:p w14:paraId="0F063C56">
      <w:pPr>
        <w:spacing w:line="220" w:lineRule="atLeast"/>
        <w:jc w:val="center"/>
        <w:rPr>
          <w:rFonts w:ascii="宋体" w:hAnsi="宋体"/>
          <w:szCs w:val="21"/>
        </w:rPr>
      </w:pPr>
      <w:r>
        <w:rPr>
          <w:rFonts w:hint="eastAsia" w:ascii="宋体" w:hAnsi="宋体"/>
          <w:b/>
          <w:szCs w:val="21"/>
        </w:rPr>
        <w:t>2.供应商直接管理关系信息表</w:t>
      </w:r>
    </w:p>
    <w:tbl>
      <w:tblPr>
        <w:tblStyle w:val="54"/>
        <w:tblW w:w="0" w:type="auto"/>
        <w:tblInd w:w="-132" w:type="dxa"/>
        <w:tblLayout w:type="fixed"/>
        <w:tblCellMar>
          <w:top w:w="120" w:type="dxa"/>
          <w:left w:w="120" w:type="dxa"/>
          <w:bottom w:w="120" w:type="dxa"/>
          <w:right w:w="120" w:type="dxa"/>
        </w:tblCellMar>
      </w:tblPr>
      <w:tblGrid>
        <w:gridCol w:w="1001"/>
        <w:gridCol w:w="2650"/>
        <w:gridCol w:w="3910"/>
        <w:gridCol w:w="2057"/>
      </w:tblGrid>
      <w:tr w14:paraId="79A11100">
        <w:trPr>
          <w:trHeight w:val="213" w:hRule="atLeast"/>
        </w:trPr>
        <w:tc>
          <w:tcPr>
            <w:tcW w:w="100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CB1951">
            <w:pPr>
              <w:spacing w:line="220" w:lineRule="atLeast"/>
              <w:rPr>
                <w:rFonts w:ascii="宋体" w:hAnsi="宋体"/>
                <w:b/>
                <w:bCs/>
                <w:szCs w:val="21"/>
              </w:rPr>
            </w:pPr>
            <w:r>
              <w:rPr>
                <w:rFonts w:hint="eastAsia" w:ascii="宋体" w:hAnsi="宋体"/>
                <w:b/>
                <w:bCs/>
                <w:szCs w:val="21"/>
              </w:rPr>
              <w:t>序号</w:t>
            </w:r>
          </w:p>
        </w:tc>
        <w:tc>
          <w:tcPr>
            <w:tcW w:w="265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52391F93">
            <w:pPr>
              <w:spacing w:line="220" w:lineRule="atLeast"/>
              <w:rPr>
                <w:rFonts w:ascii="宋体" w:hAnsi="宋体"/>
                <w:b/>
                <w:bCs/>
                <w:szCs w:val="21"/>
              </w:rPr>
            </w:pPr>
            <w:r>
              <w:rPr>
                <w:rFonts w:hint="eastAsia" w:ascii="宋体" w:hAnsi="宋体"/>
                <w:b/>
                <w:bCs/>
                <w:szCs w:val="21"/>
              </w:rPr>
              <w:t>直接管理关系单位名称</w:t>
            </w:r>
          </w:p>
        </w:tc>
        <w:tc>
          <w:tcPr>
            <w:tcW w:w="391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73CC256">
            <w:pPr>
              <w:spacing w:line="220" w:lineRule="atLeast"/>
              <w:rPr>
                <w:rFonts w:ascii="宋体" w:hAnsi="宋体"/>
                <w:b/>
                <w:bCs/>
                <w:szCs w:val="21"/>
              </w:rPr>
            </w:pPr>
            <w:r>
              <w:rPr>
                <w:rFonts w:hint="eastAsia" w:ascii="宋体" w:hAnsi="宋体"/>
                <w:b/>
                <w:bCs/>
                <w:szCs w:val="21"/>
              </w:rPr>
              <w:t>统一社会信用代码</w:t>
            </w:r>
          </w:p>
        </w:tc>
        <w:tc>
          <w:tcPr>
            <w:tcW w:w="205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5F93E77F">
            <w:pPr>
              <w:spacing w:line="220" w:lineRule="atLeast"/>
              <w:rPr>
                <w:rFonts w:ascii="宋体" w:hAnsi="宋体"/>
                <w:b/>
                <w:bCs/>
                <w:szCs w:val="21"/>
              </w:rPr>
            </w:pPr>
            <w:r>
              <w:rPr>
                <w:rFonts w:hint="eastAsia" w:ascii="宋体" w:hAnsi="宋体"/>
                <w:b/>
                <w:bCs/>
                <w:szCs w:val="21"/>
              </w:rPr>
              <w:t>备注</w:t>
            </w:r>
          </w:p>
        </w:tc>
      </w:tr>
      <w:tr w14:paraId="50C1050C">
        <w:tblPrEx>
          <w:tblCellMar>
            <w:top w:w="120" w:type="dxa"/>
            <w:left w:w="120" w:type="dxa"/>
            <w:bottom w:w="120" w:type="dxa"/>
            <w:right w:w="120" w:type="dxa"/>
          </w:tblCellMar>
        </w:tblPrEx>
        <w:trPr>
          <w:trHeight w:val="204" w:hRule="atLeast"/>
        </w:trPr>
        <w:tc>
          <w:tcPr>
            <w:tcW w:w="100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DEC11D">
            <w:pPr>
              <w:spacing w:line="220" w:lineRule="atLeast"/>
              <w:rPr>
                <w:rFonts w:ascii="宋体" w:hAnsi="宋体"/>
                <w:szCs w:val="21"/>
              </w:rPr>
            </w:pPr>
            <w:r>
              <w:rPr>
                <w:rFonts w:hint="eastAsia" w:ascii="宋体" w:hAnsi="宋体"/>
                <w:szCs w:val="21"/>
              </w:rPr>
              <w:t>1</w:t>
            </w:r>
          </w:p>
        </w:tc>
        <w:tc>
          <w:tcPr>
            <w:tcW w:w="265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2EC874B">
            <w:pPr>
              <w:spacing w:line="220" w:lineRule="atLeast"/>
              <w:rPr>
                <w:rFonts w:ascii="宋体" w:hAnsi="宋体"/>
                <w:szCs w:val="21"/>
              </w:rPr>
            </w:pPr>
          </w:p>
        </w:tc>
        <w:tc>
          <w:tcPr>
            <w:tcW w:w="391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6F62AE2B">
            <w:pPr>
              <w:spacing w:line="220" w:lineRule="atLeast"/>
              <w:rPr>
                <w:rFonts w:ascii="宋体" w:hAnsi="宋体"/>
                <w:szCs w:val="21"/>
              </w:rPr>
            </w:pPr>
          </w:p>
        </w:tc>
        <w:tc>
          <w:tcPr>
            <w:tcW w:w="205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3786852C">
            <w:pPr>
              <w:spacing w:line="220" w:lineRule="atLeast"/>
              <w:rPr>
                <w:rFonts w:ascii="宋体" w:hAnsi="宋体"/>
                <w:szCs w:val="21"/>
              </w:rPr>
            </w:pPr>
          </w:p>
        </w:tc>
      </w:tr>
      <w:tr w14:paraId="4FB40CB0">
        <w:trPr>
          <w:trHeight w:val="213" w:hRule="atLeast"/>
        </w:trPr>
        <w:tc>
          <w:tcPr>
            <w:tcW w:w="100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C9543C">
            <w:pPr>
              <w:spacing w:line="220" w:lineRule="atLeast"/>
              <w:rPr>
                <w:rFonts w:ascii="宋体" w:hAnsi="宋体"/>
                <w:szCs w:val="21"/>
              </w:rPr>
            </w:pPr>
            <w:r>
              <w:rPr>
                <w:rFonts w:hint="eastAsia" w:ascii="宋体" w:hAnsi="宋体"/>
                <w:szCs w:val="21"/>
              </w:rPr>
              <w:t>2</w:t>
            </w:r>
          </w:p>
        </w:tc>
        <w:tc>
          <w:tcPr>
            <w:tcW w:w="265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7CF5DEB">
            <w:pPr>
              <w:spacing w:line="220" w:lineRule="atLeast"/>
              <w:rPr>
                <w:rFonts w:ascii="宋体" w:hAnsi="宋体"/>
                <w:szCs w:val="21"/>
              </w:rPr>
            </w:pPr>
          </w:p>
        </w:tc>
        <w:tc>
          <w:tcPr>
            <w:tcW w:w="391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6FD93CB1">
            <w:pPr>
              <w:spacing w:line="220" w:lineRule="atLeast"/>
              <w:rPr>
                <w:rFonts w:ascii="宋体" w:hAnsi="宋体"/>
                <w:szCs w:val="21"/>
              </w:rPr>
            </w:pPr>
          </w:p>
        </w:tc>
        <w:tc>
          <w:tcPr>
            <w:tcW w:w="205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2F578A24">
            <w:pPr>
              <w:spacing w:line="220" w:lineRule="atLeast"/>
              <w:rPr>
                <w:rFonts w:ascii="宋体" w:hAnsi="宋体"/>
                <w:szCs w:val="21"/>
              </w:rPr>
            </w:pPr>
          </w:p>
        </w:tc>
      </w:tr>
      <w:tr w14:paraId="0491C20A">
        <w:trPr>
          <w:trHeight w:val="204" w:hRule="atLeast"/>
        </w:trPr>
        <w:tc>
          <w:tcPr>
            <w:tcW w:w="1001"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805B77">
            <w:pPr>
              <w:spacing w:line="220" w:lineRule="atLeast"/>
              <w:rPr>
                <w:rFonts w:ascii="宋体" w:hAnsi="宋体"/>
                <w:szCs w:val="21"/>
              </w:rPr>
            </w:pPr>
            <w:r>
              <w:rPr>
                <w:rFonts w:hint="eastAsia" w:ascii="宋体" w:hAnsi="宋体"/>
                <w:szCs w:val="21"/>
              </w:rPr>
              <w:t>……</w:t>
            </w:r>
          </w:p>
        </w:tc>
        <w:tc>
          <w:tcPr>
            <w:tcW w:w="265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1F4F17DD">
            <w:pPr>
              <w:spacing w:line="220" w:lineRule="atLeast"/>
              <w:rPr>
                <w:rFonts w:ascii="宋体" w:hAnsi="宋体"/>
                <w:szCs w:val="21"/>
              </w:rPr>
            </w:pPr>
          </w:p>
        </w:tc>
        <w:tc>
          <w:tcPr>
            <w:tcW w:w="3910"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7E92D061">
            <w:pPr>
              <w:spacing w:line="220" w:lineRule="atLeast"/>
              <w:rPr>
                <w:rFonts w:ascii="宋体" w:hAnsi="宋体"/>
                <w:szCs w:val="21"/>
              </w:rPr>
            </w:pPr>
          </w:p>
        </w:tc>
        <w:tc>
          <w:tcPr>
            <w:tcW w:w="2057" w:type="dxa"/>
            <w:tcBorders>
              <w:top w:val="single" w:color="auto" w:sz="4" w:space="0"/>
              <w:left w:val="nil"/>
              <w:bottom w:val="single" w:color="auto" w:sz="4" w:space="0"/>
              <w:right w:val="single" w:color="auto" w:sz="4" w:space="0"/>
            </w:tcBorders>
            <w:tcMar>
              <w:top w:w="120" w:type="dxa"/>
              <w:left w:w="120" w:type="dxa"/>
              <w:bottom w:w="120" w:type="dxa"/>
              <w:right w:w="120" w:type="dxa"/>
            </w:tcMar>
            <w:vAlign w:val="center"/>
          </w:tcPr>
          <w:p w14:paraId="63C34FAA">
            <w:pPr>
              <w:spacing w:line="220" w:lineRule="atLeast"/>
              <w:rPr>
                <w:rFonts w:ascii="宋体" w:hAnsi="宋体"/>
                <w:szCs w:val="21"/>
              </w:rPr>
            </w:pPr>
          </w:p>
        </w:tc>
      </w:tr>
    </w:tbl>
    <w:p w14:paraId="6C93345B">
      <w:pPr>
        <w:spacing w:line="324" w:lineRule="auto"/>
        <w:rPr>
          <w:rFonts w:ascii="宋体" w:hAnsi="宋体"/>
          <w:szCs w:val="21"/>
        </w:rPr>
      </w:pPr>
      <w:r>
        <w:rPr>
          <w:rFonts w:hint="eastAsia" w:ascii="宋体" w:hAnsi="宋体"/>
          <w:szCs w:val="21"/>
        </w:rPr>
        <w:t>注：</w:t>
      </w:r>
    </w:p>
    <w:p w14:paraId="508FB73F">
      <w:pPr>
        <w:spacing w:line="324" w:lineRule="auto"/>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554D6CC7">
      <w:pPr>
        <w:spacing w:line="324" w:lineRule="auto"/>
        <w:rPr>
          <w:rFonts w:ascii="宋体" w:hAnsi="宋体"/>
          <w:szCs w:val="21"/>
        </w:rPr>
      </w:pPr>
      <w:r>
        <w:rPr>
          <w:rFonts w:hint="eastAsia" w:ascii="宋体" w:hAnsi="宋体"/>
          <w:szCs w:val="21"/>
        </w:rPr>
        <w:t>2.本表所指的管理关系仅限于直接管理关系，不包括间接的管理关系。</w:t>
      </w:r>
    </w:p>
    <w:p w14:paraId="1FD35BB1">
      <w:pPr>
        <w:spacing w:line="360" w:lineRule="auto"/>
        <w:ind w:firstLine="4305" w:firstLineChars="2050"/>
        <w:rPr>
          <w:rFonts w:ascii="宋体" w:hAnsi="宋体"/>
          <w:szCs w:val="21"/>
        </w:rPr>
      </w:pPr>
    </w:p>
    <w:p w14:paraId="173B3D72">
      <w:pPr>
        <w:spacing w:line="360" w:lineRule="auto"/>
        <w:ind w:firstLine="4305" w:firstLineChars="2050"/>
        <w:rPr>
          <w:rFonts w:ascii="宋体" w:hAnsi="宋体"/>
          <w:szCs w:val="21"/>
          <w:u w:val="single"/>
        </w:rPr>
      </w:pPr>
      <w:r>
        <w:rPr>
          <w:rFonts w:hint="eastAsia" w:ascii="宋体" w:hAnsi="宋体"/>
          <w:szCs w:val="21"/>
        </w:rPr>
        <w:t>法定代表人或委托代理人签字：</w:t>
      </w:r>
    </w:p>
    <w:p w14:paraId="6DBEF357">
      <w:pPr>
        <w:spacing w:line="360" w:lineRule="auto"/>
        <w:ind w:firstLine="4410" w:firstLineChars="2100"/>
        <w:rPr>
          <w:rFonts w:ascii="宋体" w:hAnsi="宋体"/>
          <w:szCs w:val="21"/>
        </w:rPr>
      </w:pPr>
      <w:r>
        <w:rPr>
          <w:rFonts w:hint="eastAsia" w:ascii="宋体" w:hAnsi="宋体"/>
          <w:szCs w:val="21"/>
        </w:rPr>
        <w:t>供应商名称(公章)：</w:t>
      </w:r>
    </w:p>
    <w:p w14:paraId="50A037BA">
      <w:pPr>
        <w:spacing w:line="360" w:lineRule="auto"/>
        <w:rPr>
          <w:rFonts w:ascii="宋体" w:hAnsi="宋体"/>
          <w:szCs w:val="21"/>
        </w:rPr>
      </w:pPr>
      <w:r>
        <w:rPr>
          <w:rFonts w:hint="eastAsia" w:ascii="宋体" w:hAnsi="宋体"/>
          <w:szCs w:val="21"/>
        </w:rPr>
        <w:t xml:space="preserve">                                                            年    月    日</w:t>
      </w:r>
    </w:p>
    <w:p w14:paraId="286481AE">
      <w:pPr>
        <w:pStyle w:val="80"/>
        <w:ind w:firstLine="0" w:firstLineChars="0"/>
        <w:jc w:val="center"/>
        <w:rPr>
          <w:rFonts w:ascii="宋体" w:hAnsi="宋体" w:cs="宋体"/>
          <w:bCs/>
          <w:szCs w:val="21"/>
        </w:rPr>
      </w:pPr>
      <w:r>
        <w:rPr>
          <w:rFonts w:hint="eastAsia" w:ascii="宋体" w:hAnsi="宋体" w:cs="宋体"/>
          <w:bCs/>
          <w:szCs w:val="21"/>
        </w:rPr>
        <w:br w:type="page"/>
      </w:r>
    </w:p>
    <w:p w14:paraId="5A6D65CD">
      <w:pPr>
        <w:pStyle w:val="80"/>
        <w:ind w:firstLine="0" w:firstLineChars="0"/>
        <w:jc w:val="center"/>
        <w:rPr>
          <w:rFonts w:ascii="宋体" w:hAnsi="宋体" w:cs="宋体"/>
          <w:sz w:val="36"/>
          <w:szCs w:val="36"/>
        </w:rPr>
      </w:pPr>
      <w:r>
        <w:rPr>
          <w:rFonts w:hint="eastAsia" w:ascii="宋体" w:hAnsi="宋体" w:cs="宋体"/>
          <w:b/>
          <w:spacing w:val="6"/>
          <w:sz w:val="32"/>
          <w:szCs w:val="32"/>
        </w:rPr>
        <w:t>中小企业声明函（格式）</w:t>
      </w:r>
    </w:p>
    <w:p w14:paraId="4F92CBAC">
      <w:pPr>
        <w:spacing w:line="360" w:lineRule="auto"/>
        <w:ind w:firstLine="420" w:firstLineChars="200"/>
        <w:jc w:val="left"/>
        <w:rPr>
          <w:rFonts w:ascii="宋体" w:hAnsi="宋体" w:cs="宋体"/>
          <w:szCs w:val="21"/>
        </w:rPr>
      </w:pPr>
    </w:p>
    <w:p w14:paraId="68818AFF">
      <w:pPr>
        <w:pStyle w:val="22"/>
        <w:spacing w:after="0" w:line="360" w:lineRule="auto"/>
        <w:ind w:left="63" w:right="63" w:firstLine="640"/>
        <w:contextualSpacing/>
        <w:rPr>
          <w:rFonts w:ascii="宋体" w:hAnsi="宋体" w:cs="宋体"/>
          <w:szCs w:val="21"/>
        </w:rPr>
      </w:pPr>
    </w:p>
    <w:p w14:paraId="0C949C91">
      <w:pPr>
        <w:pStyle w:val="22"/>
        <w:spacing w:after="0" w:line="360" w:lineRule="auto"/>
        <w:ind w:left="63" w:right="63" w:firstLine="640"/>
        <w:contextualSpacing/>
        <w:jc w:val="left"/>
        <w:rPr>
          <w:rFonts w:ascii="宋体" w:hAnsi="宋体" w:cs="宋体"/>
          <w:szCs w:val="21"/>
        </w:rPr>
      </w:pPr>
      <w:r>
        <w:rPr>
          <w:rFonts w:hint="eastAsia" w:ascii="宋体" w:hAnsi="宋体" w:cs="宋体"/>
          <w:szCs w:val="21"/>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26E0B30F">
      <w:pPr>
        <w:tabs>
          <w:tab w:val="left" w:pos="1384"/>
          <w:tab w:val="left" w:pos="4562"/>
          <w:tab w:val="left" w:pos="6803"/>
        </w:tabs>
        <w:spacing w:line="360" w:lineRule="auto"/>
        <w:ind w:left="-426" w:right="-58" w:firstLine="655"/>
        <w:contextualSpacing/>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3A94923B">
      <w:pPr>
        <w:tabs>
          <w:tab w:val="left" w:pos="1065"/>
          <w:tab w:val="left" w:pos="6477"/>
        </w:tabs>
        <w:spacing w:line="360" w:lineRule="auto"/>
        <w:ind w:left="-426" w:right="-58" w:firstLine="655"/>
        <w:contextualSpacing/>
        <w:rPr>
          <w:rFonts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7AA7F903">
      <w:pPr>
        <w:pStyle w:val="22"/>
        <w:spacing w:after="0" w:line="360" w:lineRule="auto"/>
        <w:ind w:left="63" w:right="63"/>
        <w:contextualSpacing/>
        <w:rPr>
          <w:rFonts w:ascii="宋体" w:hAnsi="宋体" w:cs="宋体"/>
          <w:szCs w:val="21"/>
        </w:rPr>
      </w:pPr>
      <w:r>
        <w:rPr>
          <w:rFonts w:hint="eastAsia" w:ascii="宋体" w:hAnsi="宋体" w:cs="宋体"/>
          <w:szCs w:val="21"/>
        </w:rPr>
        <w:t xml:space="preserve">…… </w:t>
      </w:r>
    </w:p>
    <w:p w14:paraId="1804D4DC">
      <w:pPr>
        <w:pStyle w:val="22"/>
        <w:spacing w:after="0" w:line="360" w:lineRule="auto"/>
        <w:ind w:left="-405" w:leftChars="-193" w:right="63" w:firstLine="396" w:firstLineChars="189"/>
        <w:contextualSpacing/>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022D023C">
      <w:pPr>
        <w:pStyle w:val="22"/>
        <w:spacing w:after="0" w:line="360" w:lineRule="auto"/>
        <w:ind w:left="63" w:right="63" w:firstLine="567"/>
        <w:contextualSpacing/>
        <w:rPr>
          <w:rFonts w:ascii="宋体" w:hAnsi="宋体" w:cs="宋体"/>
          <w:szCs w:val="21"/>
        </w:rPr>
      </w:pPr>
      <w:r>
        <w:rPr>
          <w:rFonts w:hint="eastAsia" w:ascii="宋体" w:hAnsi="宋体" w:cs="宋体"/>
          <w:szCs w:val="21"/>
        </w:rPr>
        <w:t>本企业对上述声明内容的真实性负责。如有虚假，将依法承担相应责任。</w:t>
      </w:r>
    </w:p>
    <w:p w14:paraId="40229BD8">
      <w:pPr>
        <w:pStyle w:val="22"/>
        <w:spacing w:after="0" w:line="360" w:lineRule="auto"/>
        <w:ind w:left="63" w:right="63"/>
        <w:contextualSpacing/>
        <w:rPr>
          <w:rFonts w:ascii="宋体" w:hAnsi="宋体" w:cs="宋体"/>
          <w:szCs w:val="21"/>
        </w:rPr>
      </w:pPr>
    </w:p>
    <w:p w14:paraId="0B2E5FEA">
      <w:pPr>
        <w:autoSpaceDE w:val="0"/>
        <w:autoSpaceDN w:val="0"/>
        <w:spacing w:line="360" w:lineRule="auto"/>
        <w:ind w:left="4305" w:leftChars="1950" w:hanging="210" w:hangingChars="100"/>
        <w:rPr>
          <w:rFonts w:ascii="宋体" w:hAnsi="宋体" w:cs="宋体"/>
          <w:kern w:val="0"/>
          <w:szCs w:val="21"/>
        </w:rPr>
      </w:pPr>
      <w:r>
        <w:rPr>
          <w:rFonts w:hint="eastAsia" w:ascii="宋体" w:hAnsi="宋体" w:cs="宋体"/>
          <w:kern w:val="0"/>
          <w:szCs w:val="21"/>
        </w:rPr>
        <w:t>企业名称（公章）：</w:t>
      </w:r>
    </w:p>
    <w:p w14:paraId="2DD607C8">
      <w:pPr>
        <w:pStyle w:val="22"/>
        <w:spacing w:after="0" w:line="360" w:lineRule="auto"/>
        <w:ind w:left="63" w:right="63" w:firstLine="210" w:firstLineChars="100"/>
        <w:contextualSpacing/>
        <w:rPr>
          <w:rFonts w:ascii="宋体" w:hAnsi="宋体" w:cs="宋体"/>
          <w:szCs w:val="21"/>
        </w:rPr>
      </w:pPr>
      <w:r>
        <w:rPr>
          <w:rFonts w:hint="eastAsia" w:ascii="宋体" w:hAnsi="宋体" w:cs="宋体"/>
          <w:kern w:val="0"/>
          <w:szCs w:val="21"/>
          <w:lang w:val="zh-CN"/>
        </w:rPr>
        <w:t>日期：  年  月   日</w:t>
      </w:r>
    </w:p>
    <w:p w14:paraId="5F2B3783">
      <w:pPr>
        <w:autoSpaceDE w:val="0"/>
        <w:autoSpaceDN w:val="0"/>
        <w:spacing w:line="360" w:lineRule="auto"/>
        <w:rPr>
          <w:rFonts w:ascii="宋体" w:hAnsi="宋体" w:cs="宋体"/>
          <w:szCs w:val="21"/>
        </w:rPr>
      </w:pPr>
    </w:p>
    <w:p w14:paraId="70B6E10F">
      <w:pPr>
        <w:autoSpaceDE w:val="0"/>
        <w:autoSpaceDN w:val="0"/>
        <w:spacing w:line="360" w:lineRule="auto"/>
        <w:rPr>
          <w:rFonts w:ascii="宋体" w:hAnsi="宋体" w:cs="宋体"/>
          <w:kern w:val="0"/>
          <w:szCs w:val="21"/>
          <w:lang w:val="zh-CN"/>
        </w:rPr>
      </w:pPr>
      <w:r>
        <w:rPr>
          <w:rFonts w:hint="eastAsia" w:ascii="宋体" w:hAnsi="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708E76B">
      <w:pPr>
        <w:jc w:val="center"/>
        <w:rPr>
          <w:rFonts w:ascii="宋体" w:hAnsi="宋体" w:cs="宋体"/>
          <w:b/>
          <w:bCs/>
          <w:sz w:val="32"/>
          <w:szCs w:val="32"/>
        </w:rPr>
        <w:sectPr>
          <w:headerReference r:id="rId15" w:type="default"/>
          <w:footerReference r:id="rId16" w:type="default"/>
          <w:pgSz w:w="11906" w:h="16838"/>
          <w:pgMar w:top="1304" w:right="1418" w:bottom="1304" w:left="1418" w:header="851" w:footer="992" w:gutter="0"/>
          <w:cols w:space="720" w:num="1"/>
          <w:docGrid w:linePitch="312" w:charSpace="0"/>
        </w:sectPr>
      </w:pPr>
    </w:p>
    <w:p w14:paraId="311A68C3">
      <w:pPr>
        <w:spacing w:line="360" w:lineRule="auto"/>
        <w:ind w:firstLine="420" w:firstLineChars="200"/>
        <w:rPr>
          <w:rFonts w:ascii="宋体" w:hAnsi="宋体" w:cs="宋体"/>
          <w:szCs w:val="21"/>
        </w:rPr>
      </w:pPr>
    </w:p>
    <w:p w14:paraId="4AA5709B">
      <w:pPr>
        <w:widowControl/>
        <w:shd w:val="clear" w:color="auto" w:fill="FFFFFF"/>
        <w:spacing w:before="100" w:beforeAutospacing="1" w:after="63" w:line="480" w:lineRule="atLeast"/>
        <w:ind w:firstLine="480"/>
        <w:jc w:val="left"/>
        <w:rPr>
          <w:rFonts w:ascii="宋体" w:hAnsi="宋体" w:cs="宋体"/>
          <w:b/>
          <w:kern w:val="0"/>
          <w:sz w:val="25"/>
          <w:szCs w:val="25"/>
        </w:rPr>
      </w:pPr>
      <w:r>
        <w:rPr>
          <w:rFonts w:hint="eastAsia" w:ascii="宋体" w:hAnsi="宋体" w:cs="宋体"/>
          <w:b/>
          <w:kern w:val="0"/>
          <w:sz w:val="25"/>
          <w:szCs w:val="25"/>
        </w:rPr>
        <w:t>说明：供应商提供的《残疾人福利性单位声明函》与事实不符的，依照《政府采购法》第七十七条第一款的规定追究法律责任。</w:t>
      </w:r>
    </w:p>
    <w:p w14:paraId="4CE44BDE">
      <w:pPr>
        <w:rPr>
          <w:rFonts w:ascii="宋体" w:hAnsi="宋体" w:cs="宋体"/>
        </w:rPr>
      </w:pPr>
    </w:p>
    <w:p w14:paraId="09FEA52E">
      <w:pPr>
        <w:rPr>
          <w:rFonts w:ascii="宋体" w:hAnsi="宋体" w:cs="宋体"/>
        </w:rPr>
      </w:pPr>
    </w:p>
    <w:p w14:paraId="02AABF1B">
      <w:pPr>
        <w:rPr>
          <w:rFonts w:ascii="宋体" w:hAnsi="宋体" w:cs="宋体"/>
        </w:rPr>
      </w:pPr>
    </w:p>
    <w:p w14:paraId="3002F44D">
      <w:pPr>
        <w:rPr>
          <w:rFonts w:ascii="宋体" w:hAnsi="宋体" w:cs="宋体"/>
        </w:rPr>
      </w:pPr>
    </w:p>
    <w:p w14:paraId="418C5404">
      <w:pPr>
        <w:spacing w:line="588" w:lineRule="exact"/>
        <w:jc w:val="center"/>
        <w:rPr>
          <w:rFonts w:ascii="宋体" w:hAnsi="宋体" w:cs="宋体"/>
          <w:b/>
          <w:spacing w:val="6"/>
          <w:sz w:val="32"/>
          <w:szCs w:val="32"/>
        </w:rPr>
      </w:pPr>
      <w:bookmarkStart w:id="42" w:name="OLE_LINK14"/>
      <w:r>
        <w:rPr>
          <w:rFonts w:hint="eastAsia" w:ascii="宋体" w:hAnsi="宋体" w:cs="宋体"/>
          <w:b/>
          <w:spacing w:val="6"/>
          <w:sz w:val="32"/>
          <w:szCs w:val="32"/>
        </w:rPr>
        <w:t>残疾人福利性单位声明函</w:t>
      </w:r>
    </w:p>
    <w:bookmarkEnd w:id="42"/>
    <w:p w14:paraId="3760E8C0">
      <w:pPr>
        <w:spacing w:line="588" w:lineRule="exact"/>
        <w:rPr>
          <w:rFonts w:ascii="宋体" w:hAnsi="宋体" w:cs="宋体"/>
          <w:b/>
          <w:spacing w:val="6"/>
          <w:sz w:val="30"/>
          <w:szCs w:val="30"/>
        </w:rPr>
      </w:pPr>
    </w:p>
    <w:p w14:paraId="3129C28B">
      <w:pPr>
        <w:spacing w:line="588"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w:t>
      </w:r>
      <w:r>
        <w:rPr>
          <w:rFonts w:hint="eastAsia" w:ascii="宋体" w:hAnsi="宋体" w:cs="宋体"/>
          <w:b/>
          <w:bCs/>
          <w:kern w:val="24"/>
          <w:u w:val="single"/>
        </w:rPr>
        <w:t>南宁师范大学</w:t>
      </w:r>
      <w:r>
        <w:rPr>
          <w:rFonts w:hint="eastAsia" w:ascii="宋体" w:hAnsi="宋体" w:cs="宋体"/>
          <w:kern w:val="24"/>
        </w:rPr>
        <w:t>的</w:t>
      </w:r>
      <w:r>
        <w:rPr>
          <w:rFonts w:hint="eastAsia" w:ascii="宋体" w:hAnsi="宋体" w:cs="宋体"/>
          <w:b/>
          <w:bCs/>
          <w:kern w:val="24"/>
          <w:u w:val="single"/>
        </w:rPr>
        <w:t>南宁师范大学武鸣五合校园共享单车服务采购项目</w:t>
      </w:r>
      <w:r>
        <w:rPr>
          <w:rFonts w:hint="eastAsia" w:ascii="宋体" w:hAnsi="宋体" w:cs="宋体"/>
          <w:spacing w:val="6"/>
          <w:szCs w:val="21"/>
        </w:rPr>
        <w:t>项目采购活动提供本单位制造的货物（由本单位承担工程/提供服务），或者提供其他残疾人福利性单位制造的货物（不包括使用非残疾人福利性单位注册商标的货物）。</w:t>
      </w:r>
    </w:p>
    <w:p w14:paraId="7BB44221">
      <w:pPr>
        <w:spacing w:line="588"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552BBC47">
      <w:pPr>
        <w:spacing w:line="588" w:lineRule="exact"/>
        <w:ind w:firstLine="444" w:firstLineChars="200"/>
        <w:rPr>
          <w:rFonts w:ascii="宋体" w:hAnsi="宋体" w:cs="宋体"/>
          <w:spacing w:val="6"/>
          <w:szCs w:val="21"/>
        </w:rPr>
      </w:pPr>
    </w:p>
    <w:p w14:paraId="458BA3D8">
      <w:pPr>
        <w:spacing w:line="588" w:lineRule="exact"/>
        <w:ind w:firstLine="444" w:firstLineChars="200"/>
        <w:rPr>
          <w:rFonts w:ascii="宋体" w:hAnsi="宋体" w:cs="宋体"/>
          <w:spacing w:val="6"/>
          <w:szCs w:val="21"/>
        </w:rPr>
      </w:pPr>
    </w:p>
    <w:p w14:paraId="224AC7F1">
      <w:pPr>
        <w:tabs>
          <w:tab w:val="left" w:pos="4860"/>
        </w:tabs>
        <w:spacing w:line="588" w:lineRule="exact"/>
        <w:ind w:right="1560" w:firstLine="444" w:firstLineChars="200"/>
        <w:jc w:val="right"/>
        <w:rPr>
          <w:rFonts w:ascii="宋体" w:hAnsi="宋体" w:cs="宋体"/>
          <w:spacing w:val="6"/>
          <w:szCs w:val="21"/>
        </w:rPr>
      </w:pPr>
      <w:r>
        <w:rPr>
          <w:rFonts w:hint="eastAsia" w:ascii="宋体" w:hAnsi="宋体" w:cs="宋体"/>
          <w:spacing w:val="6"/>
          <w:szCs w:val="21"/>
        </w:rPr>
        <w:t>单位名称（盖章）：</w:t>
      </w:r>
    </w:p>
    <w:p w14:paraId="44F8318D">
      <w:pPr>
        <w:tabs>
          <w:tab w:val="left" w:pos="0"/>
        </w:tabs>
        <w:spacing w:line="588" w:lineRule="exact"/>
        <w:ind w:right="1560" w:firstLine="444" w:firstLineChars="200"/>
        <w:jc w:val="right"/>
        <w:rPr>
          <w:rFonts w:ascii="宋体" w:hAnsi="宋体" w:cs="宋体"/>
          <w:spacing w:val="6"/>
          <w:szCs w:val="21"/>
        </w:rPr>
        <w:sectPr>
          <w:pgSz w:w="11906" w:h="16838"/>
          <w:pgMar w:top="1435" w:right="1435" w:bottom="1435" w:left="1435" w:header="851" w:footer="992" w:gutter="0"/>
          <w:cols w:space="720" w:num="1"/>
          <w:titlePg/>
          <w:docGrid w:type="lines" w:linePitch="312" w:charSpace="0"/>
        </w:sectPr>
      </w:pPr>
      <w:r>
        <w:rPr>
          <w:rFonts w:hint="eastAsia" w:ascii="宋体" w:hAnsi="宋体" w:cs="宋体"/>
          <w:spacing w:val="6"/>
          <w:szCs w:val="21"/>
        </w:rPr>
        <w:t>日  期：</w:t>
      </w:r>
    </w:p>
    <w:p w14:paraId="38B1B21C">
      <w:pPr>
        <w:rPr>
          <w:rFonts w:ascii="宋体" w:hAnsi="宋体"/>
          <w:sz w:val="24"/>
          <w:szCs w:val="20"/>
        </w:rPr>
      </w:pPr>
    </w:p>
    <w:p w14:paraId="2FCFCE32">
      <w:pPr>
        <w:pStyle w:val="34"/>
        <w:tabs>
          <w:tab w:val="clear" w:pos="4153"/>
          <w:tab w:val="clear" w:pos="8306"/>
        </w:tabs>
        <w:rPr>
          <w:rFonts w:ascii="宋体" w:hAnsi="宋体"/>
          <w:sz w:val="24"/>
          <w:szCs w:val="20"/>
        </w:rPr>
      </w:pPr>
    </w:p>
    <w:p w14:paraId="5127B388">
      <w:pPr>
        <w:rPr>
          <w:rFonts w:ascii="宋体" w:hAnsi="宋体"/>
          <w:sz w:val="24"/>
          <w:szCs w:val="20"/>
        </w:rPr>
      </w:pPr>
    </w:p>
    <w:p w14:paraId="61A8C300">
      <w:pPr>
        <w:pStyle w:val="34"/>
        <w:tabs>
          <w:tab w:val="clear" w:pos="4153"/>
          <w:tab w:val="clear" w:pos="8306"/>
        </w:tabs>
        <w:rPr>
          <w:rFonts w:ascii="宋体" w:hAnsi="宋体"/>
          <w:sz w:val="24"/>
          <w:szCs w:val="20"/>
        </w:rPr>
      </w:pPr>
    </w:p>
    <w:p w14:paraId="4E51FDED">
      <w:pPr>
        <w:rPr>
          <w:rFonts w:ascii="宋体" w:hAnsi="宋体"/>
          <w:sz w:val="24"/>
          <w:szCs w:val="20"/>
        </w:rPr>
      </w:pPr>
    </w:p>
    <w:p w14:paraId="3245D07E">
      <w:pPr>
        <w:pStyle w:val="34"/>
        <w:tabs>
          <w:tab w:val="clear" w:pos="4153"/>
          <w:tab w:val="clear" w:pos="8306"/>
        </w:tabs>
        <w:rPr>
          <w:rFonts w:ascii="宋体" w:hAnsi="宋体"/>
          <w:sz w:val="24"/>
          <w:szCs w:val="20"/>
        </w:rPr>
      </w:pPr>
    </w:p>
    <w:p w14:paraId="6E35C4E7">
      <w:pPr>
        <w:rPr>
          <w:rFonts w:ascii="宋体" w:hAnsi="宋体"/>
          <w:sz w:val="24"/>
          <w:szCs w:val="20"/>
        </w:rPr>
      </w:pPr>
    </w:p>
    <w:p w14:paraId="7F317EBF">
      <w:pPr>
        <w:pStyle w:val="34"/>
        <w:tabs>
          <w:tab w:val="clear" w:pos="4153"/>
          <w:tab w:val="clear" w:pos="8306"/>
        </w:tabs>
        <w:rPr>
          <w:rFonts w:ascii="宋体" w:hAnsi="宋体"/>
          <w:sz w:val="24"/>
          <w:szCs w:val="20"/>
        </w:rPr>
      </w:pPr>
    </w:p>
    <w:p w14:paraId="17FDE7C4">
      <w:pPr>
        <w:rPr>
          <w:rFonts w:ascii="宋体" w:hAnsi="宋体"/>
          <w:sz w:val="24"/>
          <w:szCs w:val="20"/>
        </w:rPr>
      </w:pPr>
    </w:p>
    <w:p w14:paraId="6EABEA6E">
      <w:pPr>
        <w:pStyle w:val="34"/>
        <w:tabs>
          <w:tab w:val="clear" w:pos="4153"/>
          <w:tab w:val="clear" w:pos="8306"/>
        </w:tabs>
        <w:rPr>
          <w:rFonts w:ascii="宋体" w:hAnsi="宋体"/>
          <w:sz w:val="24"/>
          <w:szCs w:val="20"/>
        </w:rPr>
      </w:pPr>
    </w:p>
    <w:p w14:paraId="1700700E">
      <w:pPr>
        <w:rPr>
          <w:rFonts w:ascii="宋体" w:hAnsi="宋体"/>
          <w:sz w:val="24"/>
          <w:szCs w:val="20"/>
        </w:rPr>
      </w:pPr>
    </w:p>
    <w:p w14:paraId="24DAD36E">
      <w:pPr>
        <w:pStyle w:val="34"/>
        <w:tabs>
          <w:tab w:val="clear" w:pos="4153"/>
          <w:tab w:val="clear" w:pos="8306"/>
        </w:tabs>
        <w:rPr>
          <w:rFonts w:ascii="宋体" w:hAnsi="宋体"/>
          <w:sz w:val="24"/>
          <w:szCs w:val="20"/>
        </w:rPr>
      </w:pPr>
    </w:p>
    <w:p w14:paraId="54EB76D7">
      <w:pPr>
        <w:rPr>
          <w:rFonts w:ascii="宋体" w:hAnsi="宋体"/>
          <w:sz w:val="24"/>
          <w:szCs w:val="20"/>
        </w:rPr>
      </w:pPr>
    </w:p>
    <w:p w14:paraId="5EF859D1">
      <w:pPr>
        <w:pStyle w:val="34"/>
        <w:tabs>
          <w:tab w:val="clear" w:pos="4153"/>
          <w:tab w:val="clear" w:pos="8306"/>
        </w:tabs>
        <w:rPr>
          <w:rFonts w:ascii="宋体" w:hAnsi="宋体"/>
          <w:sz w:val="24"/>
          <w:szCs w:val="20"/>
        </w:rPr>
      </w:pPr>
    </w:p>
    <w:p w14:paraId="5B6BFDD9">
      <w:pPr>
        <w:rPr>
          <w:rFonts w:ascii="宋体" w:hAnsi="宋体"/>
          <w:sz w:val="24"/>
          <w:szCs w:val="20"/>
        </w:rPr>
      </w:pPr>
    </w:p>
    <w:p w14:paraId="10853C27">
      <w:pPr>
        <w:pStyle w:val="34"/>
        <w:tabs>
          <w:tab w:val="clear" w:pos="4153"/>
          <w:tab w:val="clear" w:pos="8306"/>
        </w:tabs>
      </w:pPr>
    </w:p>
    <w:p w14:paraId="3119982F">
      <w:pPr>
        <w:pStyle w:val="2"/>
        <w:jc w:val="center"/>
        <w:rPr>
          <w:rFonts w:ascii="宋体" w:hAnsi="宋体" w:cs="宋体"/>
          <w:szCs w:val="32"/>
        </w:rPr>
      </w:pPr>
      <w:bookmarkStart w:id="43" w:name="_Toc27080"/>
      <w:r>
        <w:rPr>
          <w:rFonts w:hint="eastAsia" w:ascii="宋体" w:hAnsi="宋体" w:cs="宋体"/>
          <w:szCs w:val="32"/>
        </w:rPr>
        <w:t xml:space="preserve">第六章 </w:t>
      </w:r>
      <w:bookmarkStart w:id="44" w:name="_Toc19533"/>
      <w:bookmarkStart w:id="45" w:name="_Toc16595"/>
      <w:r>
        <w:rPr>
          <w:rFonts w:hint="eastAsia" w:ascii="宋体" w:hAnsi="宋体" w:cs="宋体"/>
          <w:szCs w:val="32"/>
        </w:rPr>
        <w:t>合同主要条款</w:t>
      </w:r>
      <w:bookmarkEnd w:id="43"/>
      <w:bookmarkEnd w:id="44"/>
      <w:bookmarkEnd w:id="45"/>
    </w:p>
    <w:p w14:paraId="324D5F26">
      <w:pPr>
        <w:spacing w:line="600" w:lineRule="exact"/>
        <w:rPr>
          <w:rFonts w:ascii="宋体" w:hAnsi="宋体" w:cs="宋体"/>
          <w:szCs w:val="21"/>
        </w:rPr>
        <w:sectPr>
          <w:pgSz w:w="11906" w:h="16838"/>
          <w:pgMar w:top="1435" w:right="1435" w:bottom="1435" w:left="1435" w:header="851" w:footer="992" w:gutter="0"/>
          <w:cols w:space="720" w:num="1"/>
          <w:titlePg/>
          <w:docGrid w:type="lines" w:linePitch="312" w:charSpace="0"/>
        </w:sectPr>
      </w:pPr>
    </w:p>
    <w:p w14:paraId="185585B1">
      <w:pPr>
        <w:spacing w:line="360" w:lineRule="auto"/>
        <w:jc w:val="center"/>
        <w:rPr>
          <w:rFonts w:ascii="黑体" w:hAnsi="黑体" w:eastAsia="黑体"/>
          <w:sz w:val="44"/>
          <w:szCs w:val="28"/>
        </w:rPr>
      </w:pPr>
      <w:r>
        <w:rPr>
          <w:rFonts w:hint="eastAsia" w:ascii="黑体" w:hAnsi="黑体" w:eastAsia="黑体"/>
          <w:sz w:val="44"/>
          <w:szCs w:val="28"/>
        </w:rPr>
        <w:t>南宁师范大学</w:t>
      </w:r>
    </w:p>
    <w:p w14:paraId="75F57D75">
      <w:pPr>
        <w:spacing w:line="360" w:lineRule="auto"/>
        <w:rPr>
          <w:rFonts w:ascii="黑体" w:hAnsi="黑体" w:eastAsia="黑体"/>
          <w:sz w:val="44"/>
          <w:szCs w:val="28"/>
        </w:rPr>
      </w:pPr>
    </w:p>
    <w:p w14:paraId="20036D8E">
      <w:pPr>
        <w:pStyle w:val="28"/>
        <w:ind w:left="-70" w:firstLine="1590" w:firstLineChars="495"/>
        <w:rPr>
          <w:rFonts w:hAnsi="宋体"/>
          <w:b/>
          <w:sz w:val="32"/>
          <w:szCs w:val="32"/>
          <w:u w:val="single"/>
        </w:rPr>
      </w:pPr>
      <w:r>
        <w:rPr>
          <w:rFonts w:hint="eastAsia" w:hAnsi="宋体"/>
          <w:b/>
          <w:sz w:val="32"/>
          <w:szCs w:val="32"/>
        </w:rPr>
        <w:t>合同名称：</w:t>
      </w:r>
    </w:p>
    <w:p w14:paraId="5F0C8E1C">
      <w:pPr>
        <w:pStyle w:val="28"/>
        <w:ind w:left="-70" w:firstLine="1590" w:firstLineChars="495"/>
        <w:rPr>
          <w:rFonts w:hAnsi="宋体"/>
          <w:b/>
          <w:sz w:val="32"/>
          <w:szCs w:val="32"/>
        </w:rPr>
      </w:pPr>
    </w:p>
    <w:p w14:paraId="1596C1C5">
      <w:pPr>
        <w:pStyle w:val="28"/>
        <w:ind w:left="-70" w:firstLine="1590" w:firstLineChars="495"/>
        <w:rPr>
          <w:rFonts w:hAnsi="宋体"/>
          <w:b/>
          <w:sz w:val="32"/>
          <w:szCs w:val="32"/>
          <w:u w:val="single"/>
        </w:rPr>
      </w:pPr>
      <w:r>
        <w:rPr>
          <w:rFonts w:hint="eastAsia" w:hAnsi="宋体"/>
          <w:b/>
          <w:sz w:val="32"/>
          <w:szCs w:val="32"/>
        </w:rPr>
        <w:t>合同编号：</w:t>
      </w:r>
    </w:p>
    <w:p w14:paraId="00343D07">
      <w:pPr>
        <w:pStyle w:val="28"/>
        <w:ind w:left="-70" w:firstLine="492"/>
        <w:jc w:val="center"/>
        <w:rPr>
          <w:rFonts w:hAnsi="宋体"/>
        </w:rPr>
      </w:pPr>
    </w:p>
    <w:p w14:paraId="355798FC">
      <w:pPr>
        <w:pStyle w:val="28"/>
        <w:ind w:left="-70" w:firstLine="492"/>
        <w:jc w:val="center"/>
        <w:rPr>
          <w:rFonts w:hAnsi="宋体"/>
        </w:rPr>
      </w:pPr>
    </w:p>
    <w:p w14:paraId="40EC8A80">
      <w:pPr>
        <w:pStyle w:val="28"/>
        <w:ind w:left="-70" w:firstLine="492"/>
        <w:jc w:val="center"/>
        <w:rPr>
          <w:rFonts w:hAnsi="宋体"/>
        </w:rPr>
      </w:pPr>
    </w:p>
    <w:p w14:paraId="2AE19487">
      <w:pPr>
        <w:pStyle w:val="28"/>
        <w:spacing w:after="159" w:line="340" w:lineRule="exact"/>
        <w:ind w:left="-70" w:firstLine="1590" w:firstLineChars="495"/>
        <w:rPr>
          <w:rFonts w:hAnsi="宋体"/>
          <w:b/>
          <w:sz w:val="32"/>
          <w:szCs w:val="32"/>
          <w:u w:val="single"/>
        </w:rPr>
      </w:pPr>
      <w:r>
        <w:rPr>
          <w:rFonts w:hint="eastAsia" w:hAnsi="宋体"/>
          <w:b/>
          <w:sz w:val="32"/>
          <w:szCs w:val="32"/>
        </w:rPr>
        <w:t>采购单位（甲方）</w:t>
      </w:r>
      <w:r>
        <w:rPr>
          <w:rFonts w:hint="eastAsia" w:hAnsi="宋体"/>
          <w:b/>
          <w:sz w:val="32"/>
          <w:szCs w:val="32"/>
          <w:u w:val="single"/>
        </w:rPr>
        <w:t xml:space="preserve">   南宁师范大学     </w:t>
      </w:r>
    </w:p>
    <w:p w14:paraId="3897A4E4">
      <w:pPr>
        <w:pStyle w:val="28"/>
        <w:spacing w:line="340" w:lineRule="exact"/>
        <w:ind w:left="-70" w:firstLine="1590" w:firstLineChars="495"/>
        <w:rPr>
          <w:rFonts w:hAnsi="宋体"/>
          <w:b/>
          <w:sz w:val="32"/>
          <w:szCs w:val="32"/>
          <w:u w:val="single"/>
        </w:rPr>
      </w:pPr>
      <w:r>
        <w:rPr>
          <w:rFonts w:hint="eastAsia" w:hAnsi="宋体"/>
          <w:b/>
          <w:sz w:val="32"/>
          <w:szCs w:val="32"/>
        </w:rPr>
        <w:t>住   所：</w:t>
      </w:r>
      <w:r>
        <w:rPr>
          <w:rFonts w:hint="eastAsia" w:hAnsi="宋体"/>
          <w:b/>
          <w:sz w:val="32"/>
          <w:szCs w:val="32"/>
          <w:u w:val="single"/>
        </w:rPr>
        <w:t xml:space="preserve">    南宁市明秀东路175号   </w:t>
      </w:r>
    </w:p>
    <w:p w14:paraId="0D6AE328">
      <w:pPr>
        <w:pStyle w:val="28"/>
        <w:spacing w:line="340" w:lineRule="exact"/>
        <w:ind w:left="-70" w:firstLine="1590" w:firstLineChars="495"/>
        <w:rPr>
          <w:rFonts w:hAnsi="宋体"/>
          <w:b/>
          <w:sz w:val="32"/>
          <w:szCs w:val="32"/>
        </w:rPr>
      </w:pPr>
    </w:p>
    <w:p w14:paraId="7955D1F2">
      <w:pPr>
        <w:pStyle w:val="28"/>
        <w:spacing w:line="340" w:lineRule="exact"/>
        <w:ind w:left="-70" w:firstLine="1590" w:firstLineChars="495"/>
        <w:rPr>
          <w:rFonts w:hAnsi="宋体"/>
          <w:b/>
          <w:sz w:val="32"/>
          <w:szCs w:val="32"/>
        </w:rPr>
      </w:pPr>
    </w:p>
    <w:p w14:paraId="705AD209">
      <w:pPr>
        <w:pStyle w:val="28"/>
        <w:spacing w:after="159" w:line="340" w:lineRule="exact"/>
        <w:ind w:left="-70" w:firstLine="1590" w:firstLineChars="495"/>
        <w:rPr>
          <w:rFonts w:hAnsi="宋体"/>
          <w:b/>
          <w:sz w:val="32"/>
          <w:szCs w:val="32"/>
          <w:u w:val="single"/>
        </w:rPr>
      </w:pPr>
      <w:r>
        <w:rPr>
          <w:rFonts w:hint="eastAsia" w:hAnsi="宋体"/>
          <w:b/>
          <w:sz w:val="32"/>
          <w:szCs w:val="32"/>
        </w:rPr>
        <w:t>供 应 商（乙方）</w:t>
      </w:r>
    </w:p>
    <w:p w14:paraId="443354F9">
      <w:pPr>
        <w:pStyle w:val="28"/>
        <w:spacing w:line="340" w:lineRule="exact"/>
        <w:ind w:left="-70" w:firstLine="1590" w:firstLineChars="495"/>
        <w:rPr>
          <w:rFonts w:hAnsi="宋体"/>
          <w:b/>
          <w:sz w:val="32"/>
          <w:szCs w:val="32"/>
          <w:u w:val="single"/>
        </w:rPr>
      </w:pPr>
      <w:r>
        <w:rPr>
          <w:rFonts w:hint="eastAsia" w:hAnsi="宋体"/>
          <w:b/>
          <w:sz w:val="32"/>
          <w:szCs w:val="32"/>
        </w:rPr>
        <w:t>住   所：</w:t>
      </w:r>
    </w:p>
    <w:p w14:paraId="44A507F2">
      <w:pPr>
        <w:pStyle w:val="28"/>
        <w:spacing w:line="340" w:lineRule="exact"/>
        <w:ind w:left="-70" w:firstLine="1590" w:firstLineChars="495"/>
        <w:rPr>
          <w:rFonts w:hAnsi="宋体"/>
          <w:b/>
          <w:sz w:val="32"/>
          <w:szCs w:val="32"/>
        </w:rPr>
      </w:pPr>
    </w:p>
    <w:p w14:paraId="557DE1AF">
      <w:pPr>
        <w:pStyle w:val="28"/>
        <w:ind w:left="-70" w:firstLine="492"/>
        <w:jc w:val="center"/>
        <w:rPr>
          <w:rFonts w:hAnsi="宋体"/>
        </w:rPr>
      </w:pPr>
    </w:p>
    <w:p w14:paraId="44474AA2">
      <w:pPr>
        <w:pStyle w:val="28"/>
        <w:ind w:left="-70" w:firstLine="492"/>
        <w:jc w:val="center"/>
        <w:rPr>
          <w:rFonts w:hAnsi="宋体"/>
        </w:rPr>
      </w:pPr>
    </w:p>
    <w:p w14:paraId="74786417">
      <w:pPr>
        <w:pStyle w:val="28"/>
        <w:ind w:left="-70" w:firstLine="492"/>
        <w:jc w:val="center"/>
        <w:rPr>
          <w:rFonts w:hAnsi="宋体"/>
        </w:rPr>
      </w:pPr>
    </w:p>
    <w:p w14:paraId="661C9EE1">
      <w:pPr>
        <w:pStyle w:val="28"/>
        <w:ind w:left="-70" w:firstLine="1590" w:firstLineChars="495"/>
        <w:rPr>
          <w:rFonts w:hAnsi="宋体"/>
          <w:b/>
          <w:sz w:val="32"/>
          <w:szCs w:val="32"/>
          <w:u w:val="single"/>
        </w:rPr>
      </w:pPr>
      <w:r>
        <w:rPr>
          <w:rFonts w:hint="eastAsia" w:hAnsi="宋体"/>
          <w:b/>
          <w:sz w:val="32"/>
          <w:szCs w:val="32"/>
        </w:rPr>
        <w:t>签订合同地点：</w:t>
      </w:r>
      <w:r>
        <w:rPr>
          <w:rFonts w:hint="eastAsia" w:hAnsi="宋体"/>
          <w:b/>
          <w:sz w:val="32"/>
          <w:szCs w:val="32"/>
          <w:u w:val="single"/>
        </w:rPr>
        <w:t xml:space="preserve">        南宁市         </w:t>
      </w:r>
    </w:p>
    <w:p w14:paraId="305CC7A1">
      <w:pPr>
        <w:pStyle w:val="28"/>
        <w:ind w:left="-70" w:firstLine="1590" w:firstLineChars="495"/>
        <w:rPr>
          <w:rFonts w:hAnsi="宋体"/>
          <w:b/>
          <w:sz w:val="32"/>
          <w:szCs w:val="32"/>
        </w:rPr>
      </w:pPr>
    </w:p>
    <w:p w14:paraId="4E032DE1">
      <w:pPr>
        <w:pStyle w:val="28"/>
        <w:ind w:left="-70" w:firstLine="1590" w:firstLineChars="495"/>
        <w:rPr>
          <w:rFonts w:hAnsi="宋体"/>
          <w:b/>
          <w:sz w:val="32"/>
          <w:szCs w:val="32"/>
        </w:rPr>
      </w:pPr>
      <w:r>
        <w:rPr>
          <w:rFonts w:hint="eastAsia" w:hAnsi="宋体"/>
          <w:b/>
          <w:sz w:val="32"/>
          <w:szCs w:val="32"/>
        </w:rPr>
        <w:t>签订合同时间：</w:t>
      </w:r>
    </w:p>
    <w:p w14:paraId="24155A46">
      <w:pPr>
        <w:pStyle w:val="28"/>
        <w:ind w:left="-70" w:firstLine="492"/>
        <w:jc w:val="center"/>
        <w:rPr>
          <w:rFonts w:hAnsi="宋体"/>
        </w:rPr>
      </w:pPr>
    </w:p>
    <w:p w14:paraId="4FF497A7">
      <w:pPr>
        <w:pStyle w:val="28"/>
        <w:ind w:left="-70" w:firstLine="492"/>
        <w:jc w:val="center"/>
        <w:rPr>
          <w:rFonts w:hAnsi="宋体"/>
        </w:rPr>
      </w:pPr>
    </w:p>
    <w:p w14:paraId="76D5AFE1">
      <w:pPr>
        <w:pStyle w:val="28"/>
        <w:ind w:left="-70" w:firstLine="492"/>
        <w:jc w:val="center"/>
        <w:rPr>
          <w:rFonts w:hAnsi="宋体"/>
        </w:rPr>
      </w:pPr>
    </w:p>
    <w:p w14:paraId="023A3212">
      <w:pPr>
        <w:pStyle w:val="28"/>
        <w:ind w:left="-70" w:firstLine="492"/>
        <w:jc w:val="center"/>
        <w:rPr>
          <w:rFonts w:hAnsi="宋体"/>
        </w:rPr>
      </w:pPr>
    </w:p>
    <w:p w14:paraId="184F7362">
      <w:pPr>
        <w:pStyle w:val="28"/>
        <w:ind w:left="-70" w:firstLine="492"/>
        <w:jc w:val="center"/>
        <w:rPr>
          <w:rFonts w:hAnsi="宋体"/>
        </w:rPr>
      </w:pPr>
    </w:p>
    <w:p w14:paraId="49C80908">
      <w:pPr>
        <w:pStyle w:val="28"/>
        <w:spacing w:line="420" w:lineRule="exact"/>
        <w:jc w:val="left"/>
        <w:rPr>
          <w:rFonts w:hAnsi="宋体"/>
        </w:rPr>
      </w:pPr>
      <w:r>
        <w:rPr>
          <w:rFonts w:hint="eastAsia" w:hAnsi="宋体"/>
        </w:rPr>
        <w:t>合同使用说明：根据《中华人民共和国政府采购法》《中华人民共和国民法典》等法律、法规规定，</w:t>
      </w:r>
    </w:p>
    <w:p w14:paraId="615074A1">
      <w:pPr>
        <w:pStyle w:val="28"/>
        <w:spacing w:before="120" w:after="120"/>
        <w:ind w:left="-70" w:firstLine="492"/>
        <w:jc w:val="center"/>
        <w:outlineLvl w:val="0"/>
      </w:pPr>
      <w:r>
        <w:rPr>
          <w:rFonts w:hint="eastAsia" w:hAnsi="宋体"/>
        </w:rPr>
        <w:t>按照招标文件规定条款和中标供应商投标文件及其承诺，甲乙双方签订本合同。</w:t>
      </w:r>
    </w:p>
    <w:p w14:paraId="5D03F4D0">
      <w:pPr>
        <w:spacing w:line="360" w:lineRule="auto"/>
        <w:rPr>
          <w:rFonts w:ascii="宋体" w:hAnsi="宋体"/>
          <w:sz w:val="28"/>
          <w:szCs w:val="28"/>
        </w:rPr>
      </w:pPr>
    </w:p>
    <w:p w14:paraId="7422EDA0">
      <w:pPr>
        <w:spacing w:line="360" w:lineRule="auto"/>
        <w:rPr>
          <w:rFonts w:ascii="宋体" w:hAnsi="宋体"/>
          <w:sz w:val="28"/>
          <w:szCs w:val="28"/>
        </w:rPr>
      </w:pPr>
    </w:p>
    <w:p w14:paraId="2168FE3F">
      <w:pPr>
        <w:pStyle w:val="10"/>
      </w:pPr>
    </w:p>
    <w:p w14:paraId="41F0537F">
      <w:pPr>
        <w:spacing w:line="360" w:lineRule="auto"/>
        <w:jc w:val="center"/>
        <w:rPr>
          <w:rFonts w:ascii="宋体" w:hAnsi="宋体"/>
          <w:b/>
          <w:bCs/>
          <w:sz w:val="32"/>
          <w:szCs w:val="32"/>
        </w:rPr>
      </w:pPr>
      <w:r>
        <w:rPr>
          <w:rFonts w:hint="eastAsia" w:ascii="宋体" w:hAnsi="宋体"/>
          <w:b/>
          <w:bCs/>
          <w:sz w:val="32"/>
          <w:szCs w:val="32"/>
        </w:rPr>
        <w:t>合同协议书</w:t>
      </w:r>
    </w:p>
    <w:p w14:paraId="03654F40">
      <w:pPr>
        <w:spacing w:line="500" w:lineRule="exact"/>
        <w:ind w:firstLine="420" w:firstLineChars="200"/>
        <w:rPr>
          <w:rFonts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377DEE00">
      <w:pPr>
        <w:spacing w:line="500" w:lineRule="exact"/>
        <w:ind w:firstLine="420" w:firstLineChars="200"/>
        <w:rPr>
          <w:rFonts w:ascii="宋体" w:hAnsi="宋体" w:cs="宋体"/>
          <w:szCs w:val="21"/>
        </w:rPr>
      </w:pPr>
      <w:r>
        <w:rPr>
          <w:rFonts w:hint="eastAsia" w:ascii="宋体" w:hAnsi="宋体" w:cs="宋体"/>
          <w:szCs w:val="21"/>
        </w:rPr>
        <w:t>乙方：</w:t>
      </w:r>
    </w:p>
    <w:p w14:paraId="2FC5A5FC">
      <w:pPr>
        <w:spacing w:line="500" w:lineRule="exact"/>
        <w:ind w:firstLine="420" w:firstLineChars="200"/>
        <w:rPr>
          <w:rFonts w:ascii="宋体" w:hAnsi="宋体" w:cs="宋体"/>
          <w:szCs w:val="21"/>
        </w:rPr>
      </w:pPr>
      <w:r>
        <w:rPr>
          <w:rFonts w:hint="eastAsia" w:ascii="宋体" w:hAnsi="宋体" w:cs="宋体"/>
          <w:szCs w:val="21"/>
        </w:rPr>
        <w:t>甲方采取竞争性磋商方式，于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日完成</w:t>
      </w:r>
      <w:r>
        <w:rPr>
          <w:rFonts w:hint="eastAsia" w:ascii="宋体" w:hAnsi="宋体" w:cs="宋体"/>
          <w:szCs w:val="21"/>
          <w:u w:val="single"/>
        </w:rPr>
        <w:t>南宁师范大学武鸣五合校园共享单车服务采购项目</w:t>
      </w:r>
      <w:r>
        <w:rPr>
          <w:rFonts w:hint="eastAsia" w:ascii="宋体" w:hAnsi="宋体" w:cs="宋体"/>
          <w:szCs w:val="21"/>
        </w:rPr>
        <w:t>招投标工作，确定乙方为成交运营企业。为规范共享单车投放及运营配额的使用和管理，现甲、乙双方就该项目招标事宜所确定的事项，经平等协商，自愿达成一致，签订本运营管理协议。</w:t>
      </w:r>
    </w:p>
    <w:p w14:paraId="451495E3">
      <w:pPr>
        <w:spacing w:line="500" w:lineRule="exact"/>
        <w:ind w:firstLine="420" w:firstLineChars="200"/>
        <w:rPr>
          <w:rFonts w:ascii="宋体" w:hAnsi="宋体" w:cs="宋体"/>
          <w:szCs w:val="21"/>
        </w:rPr>
      </w:pPr>
      <w:r>
        <w:rPr>
          <w:rFonts w:hint="eastAsia" w:ascii="宋体" w:hAnsi="宋体" w:cs="宋体"/>
          <w:szCs w:val="21"/>
        </w:rPr>
        <w:t>运营区域、方式及期限：</w:t>
      </w:r>
    </w:p>
    <w:p w14:paraId="37861FF7">
      <w:pPr>
        <w:spacing w:line="500" w:lineRule="exact"/>
        <w:ind w:firstLine="420" w:firstLineChars="200"/>
        <w:rPr>
          <w:rFonts w:ascii="宋体" w:hAnsi="宋体" w:cs="宋体"/>
          <w:szCs w:val="21"/>
        </w:rPr>
      </w:pPr>
      <w:r>
        <w:rPr>
          <w:rFonts w:hint="eastAsia" w:ascii="宋体" w:hAnsi="宋体" w:cs="宋体"/>
          <w:szCs w:val="21"/>
        </w:rPr>
        <w:t>运营区域：南宁师范大学五合校区、武鸣校区校园内；</w:t>
      </w:r>
    </w:p>
    <w:p w14:paraId="50078168">
      <w:pPr>
        <w:spacing w:line="500" w:lineRule="exact"/>
        <w:ind w:firstLine="420" w:firstLineChars="200"/>
        <w:rPr>
          <w:rFonts w:ascii="宋体" w:hAnsi="宋体" w:cs="宋体"/>
          <w:szCs w:val="21"/>
        </w:rPr>
      </w:pPr>
      <w:r>
        <w:rPr>
          <w:rFonts w:hint="eastAsia" w:ascii="宋体" w:hAnsi="宋体" w:cs="宋体"/>
          <w:szCs w:val="21"/>
        </w:rPr>
        <w:t>运营方式：南宁师范大学武鸣五合校园共享单车服务。</w:t>
      </w:r>
    </w:p>
    <w:p w14:paraId="1085DA00">
      <w:pPr>
        <w:spacing w:line="500" w:lineRule="exact"/>
        <w:ind w:firstLine="420" w:firstLineChars="200"/>
        <w:rPr>
          <w:rFonts w:ascii="宋体" w:hAnsi="宋体" w:cs="宋体"/>
          <w:szCs w:val="21"/>
        </w:rPr>
      </w:pPr>
      <w:r>
        <w:rPr>
          <w:rFonts w:hint="eastAsia" w:ascii="宋体" w:hAnsi="宋体" w:cs="宋体"/>
          <w:szCs w:val="21"/>
        </w:rPr>
        <w:t>运营期限：2026年1月1日至 2027年12月31日。</w:t>
      </w:r>
    </w:p>
    <w:p w14:paraId="45558522">
      <w:pPr>
        <w:spacing w:line="500" w:lineRule="exact"/>
        <w:ind w:firstLine="420" w:firstLineChars="200"/>
        <w:rPr>
          <w:rFonts w:ascii="宋体" w:hAnsi="宋体" w:cs="宋体"/>
          <w:szCs w:val="21"/>
        </w:rPr>
      </w:pPr>
      <w:r>
        <w:rPr>
          <w:rFonts w:hint="eastAsia" w:ascii="宋体" w:hAnsi="宋体" w:cs="宋体"/>
          <w:szCs w:val="21"/>
        </w:rPr>
        <w:t>第一条 运营车辆投放及运营配额的使用约定。</w:t>
      </w:r>
    </w:p>
    <w:p w14:paraId="4D3A67D9">
      <w:pPr>
        <w:spacing w:line="500" w:lineRule="exact"/>
        <w:ind w:firstLine="420" w:firstLineChars="200"/>
        <w:rPr>
          <w:rFonts w:ascii="宋体" w:hAnsi="宋体" w:cs="宋体"/>
          <w:szCs w:val="21"/>
        </w:rPr>
      </w:pPr>
      <w:r>
        <w:rPr>
          <w:rFonts w:hint="eastAsia" w:ascii="宋体" w:hAnsi="宋体" w:cs="宋体"/>
          <w:szCs w:val="21"/>
        </w:rPr>
        <w:t>（一）投入运营的校园共享单车为未使用过的全新车辆。投放的共享单车必须是距生产日期 1 年内的全新车辆，共享单车必须全部符合《自行车安全要求》（GB 3565）、《互联网租赁自行车系统技术与服务规范》（T/CHINABICYCLE1）等相关规定，通过国家 CCC（中国强制性产品认证）认证，获得由有资质的检测部门出具的车辆产品质量检测合格报告和检测机构出具的电池检验报告，并在我市公安交管部门注册登记并上牌的共享单车。</w:t>
      </w:r>
    </w:p>
    <w:p w14:paraId="46F76945">
      <w:pPr>
        <w:spacing w:line="500" w:lineRule="exact"/>
        <w:ind w:firstLine="420" w:firstLineChars="200"/>
        <w:rPr>
          <w:rFonts w:ascii="宋体" w:hAnsi="宋体" w:cs="宋体"/>
          <w:szCs w:val="21"/>
        </w:rPr>
      </w:pPr>
      <w:r>
        <w:rPr>
          <w:rFonts w:hint="eastAsia" w:ascii="宋体" w:hAnsi="宋体" w:cs="宋体"/>
          <w:szCs w:val="21"/>
        </w:rPr>
        <w:t>（二）投入运营的校园共享单车必须具备带有智能通讯控制模块的智能锁，能够实现对车辆的实时定位和精确查找，以及利用电子围栏技术引导用户在允许停放的位置停放车辆，在指定区域或路段限制用户停放车辆的功能。</w:t>
      </w:r>
    </w:p>
    <w:p w14:paraId="65A5B4EC">
      <w:pPr>
        <w:spacing w:line="500" w:lineRule="exact"/>
        <w:ind w:firstLine="420" w:firstLineChars="200"/>
        <w:rPr>
          <w:rFonts w:ascii="宋体" w:hAnsi="宋体" w:cs="宋体"/>
          <w:szCs w:val="21"/>
        </w:rPr>
      </w:pPr>
      <w:r>
        <w:rPr>
          <w:rFonts w:hint="eastAsia" w:ascii="宋体" w:hAnsi="宋体" w:cs="宋体"/>
          <w:szCs w:val="21"/>
        </w:rPr>
        <w:t>（三）乙方取得的校园共享单车投放权，应当由乙方自主经营，不得委托其他企业经营；投入运营的校园共享单车，应由乙方全资购置并承担经营管理责任。</w:t>
      </w:r>
    </w:p>
    <w:p w14:paraId="366F190E">
      <w:pPr>
        <w:spacing w:line="500" w:lineRule="exact"/>
        <w:ind w:firstLine="420" w:firstLineChars="200"/>
        <w:rPr>
          <w:rFonts w:ascii="宋体" w:hAnsi="宋体" w:cs="宋体"/>
          <w:szCs w:val="21"/>
        </w:rPr>
      </w:pPr>
      <w:r>
        <w:rPr>
          <w:rFonts w:hint="eastAsia" w:ascii="宋体" w:hAnsi="宋体" w:cs="宋体"/>
          <w:szCs w:val="21"/>
        </w:rPr>
        <w:t>（四）本协议运营期满时，由甲方收回相应配额，且视共享单车市场状况决定是否重新投放。未取得继续运营权时，乙方必须在本协议终止时起</w:t>
      </w:r>
      <w:r>
        <w:rPr>
          <w:rFonts w:ascii="宋体" w:hAnsi="宋体" w:cs="宋体"/>
          <w:szCs w:val="21"/>
        </w:rPr>
        <w:t>10天</w:t>
      </w:r>
      <w:r>
        <w:rPr>
          <w:rFonts w:hint="eastAsia" w:ascii="宋体" w:hAnsi="宋体" w:cs="宋体"/>
          <w:szCs w:val="21"/>
        </w:rPr>
        <w:t>内，把已投放南宁师范大学校园共享单车全部回收或清场完毕。逾期未回收或未清场完毕的，则视为乙方自愿放弃其所有权，甲方及其受委托人和车辆所在地的相关管理部门有权对其采取清理、挪移、集中代管、报废、变卖等处置措施，乙方认可上述处理且不追究本协议责任和法律责任。</w:t>
      </w:r>
    </w:p>
    <w:p w14:paraId="11502527">
      <w:pPr>
        <w:spacing w:line="500" w:lineRule="exact"/>
        <w:ind w:firstLine="420" w:firstLineChars="200"/>
        <w:rPr>
          <w:rFonts w:ascii="宋体" w:hAnsi="宋体" w:cs="宋体"/>
          <w:szCs w:val="21"/>
        </w:rPr>
      </w:pPr>
      <w:r>
        <w:rPr>
          <w:rFonts w:hint="eastAsia" w:ascii="宋体" w:hAnsi="宋体" w:cs="宋体"/>
          <w:szCs w:val="21"/>
        </w:rPr>
        <w:t>（五）在南宁师范大学校园共享单车投放及运营配额使用期内，如因乙方原因导致不能履行试运行要求的内容或丧失履行能力的，甲方可视情况研究决定无偿收回相应投放及运营配额，产生的后果由乙方承担。</w:t>
      </w:r>
    </w:p>
    <w:p w14:paraId="4990EF41">
      <w:pPr>
        <w:spacing w:line="500" w:lineRule="exact"/>
        <w:ind w:firstLine="420" w:firstLineChars="200"/>
        <w:rPr>
          <w:rFonts w:ascii="宋体" w:hAnsi="宋体" w:cs="宋体"/>
          <w:szCs w:val="21"/>
        </w:rPr>
      </w:pPr>
      <w:r>
        <w:rPr>
          <w:rFonts w:hint="eastAsia" w:ascii="宋体" w:hAnsi="宋体" w:cs="宋体"/>
          <w:szCs w:val="21"/>
        </w:rPr>
        <w:t>（六）在南宁师范大学校园共享单车投放及运营配额使用期内，如乙方违反本协议运营约定，甲方可按本协议有关条款进行处理；由此产生的损失，由乙方自行承担。</w:t>
      </w:r>
    </w:p>
    <w:p w14:paraId="3C5FD878">
      <w:pPr>
        <w:spacing w:line="500" w:lineRule="exact"/>
        <w:ind w:firstLine="420" w:firstLineChars="200"/>
        <w:rPr>
          <w:rFonts w:ascii="宋体" w:hAnsi="宋体" w:cs="宋体"/>
          <w:szCs w:val="21"/>
        </w:rPr>
      </w:pPr>
      <w:r>
        <w:rPr>
          <w:rFonts w:hint="eastAsia" w:ascii="宋体" w:hAnsi="宋体" w:cs="宋体"/>
          <w:szCs w:val="21"/>
        </w:rPr>
        <w:t>（七）乙方的共享单车投放及运营配额使用情况以接入甲方行业监管服务平台的数据统计为准。</w:t>
      </w:r>
    </w:p>
    <w:p w14:paraId="50FEF44C">
      <w:pPr>
        <w:spacing w:line="500" w:lineRule="exact"/>
        <w:ind w:firstLine="420" w:firstLineChars="200"/>
        <w:rPr>
          <w:rFonts w:ascii="宋体" w:hAnsi="宋体" w:cs="宋体"/>
          <w:szCs w:val="21"/>
        </w:rPr>
      </w:pPr>
      <w:r>
        <w:rPr>
          <w:rFonts w:hint="eastAsia" w:ascii="宋体" w:hAnsi="宋体" w:cs="宋体"/>
          <w:szCs w:val="21"/>
        </w:rPr>
        <w:t>（八）乙方应严格执行国家、省、市有关共享单车行业法律法规规章以及政策要求，并服从有关法规、政策调整的要求。</w:t>
      </w:r>
    </w:p>
    <w:p w14:paraId="5507F572">
      <w:pPr>
        <w:spacing w:line="500" w:lineRule="exact"/>
        <w:ind w:firstLine="420" w:firstLineChars="200"/>
        <w:rPr>
          <w:rFonts w:ascii="宋体" w:hAnsi="宋体" w:cs="宋体"/>
          <w:szCs w:val="21"/>
        </w:rPr>
      </w:pPr>
      <w:r>
        <w:rPr>
          <w:rFonts w:hint="eastAsia" w:ascii="宋体" w:hAnsi="宋体" w:cs="宋体"/>
          <w:szCs w:val="21"/>
        </w:rPr>
        <w:t>第二条 甲方的权利</w:t>
      </w:r>
    </w:p>
    <w:p w14:paraId="5AF2BFAF">
      <w:pPr>
        <w:spacing w:line="500" w:lineRule="exact"/>
        <w:ind w:firstLine="420" w:firstLineChars="200"/>
        <w:rPr>
          <w:rFonts w:ascii="宋体" w:hAnsi="宋体" w:cs="宋体"/>
          <w:szCs w:val="21"/>
        </w:rPr>
      </w:pPr>
      <w:r>
        <w:rPr>
          <w:rFonts w:hint="eastAsia" w:ascii="宋体" w:hAnsi="宋体" w:cs="宋体"/>
          <w:szCs w:val="21"/>
        </w:rPr>
        <w:t>（一）甲方依照有关政策法规和运营承诺以及相关行业管理要求，对乙方履约情况、投放及运营配额使用情况以及日常的运营管理进行检查监督，发现问题的，甲方责令乙方限期整改，并予以公开通报批评并视严重程度给予5</w:t>
      </w:r>
      <w:r>
        <w:rPr>
          <w:rFonts w:ascii="宋体" w:hAnsi="宋体" w:cs="宋体"/>
          <w:szCs w:val="21"/>
        </w:rPr>
        <w:t>0元至</w:t>
      </w:r>
      <w:r>
        <w:rPr>
          <w:rFonts w:hint="eastAsia" w:ascii="宋体" w:hAnsi="宋体" w:cs="宋体"/>
          <w:szCs w:val="21"/>
        </w:rPr>
        <w:t>1</w:t>
      </w:r>
      <w:r>
        <w:rPr>
          <w:rFonts w:ascii="宋体" w:hAnsi="宋体" w:cs="宋体"/>
          <w:szCs w:val="21"/>
        </w:rPr>
        <w:t>00元的</w:t>
      </w:r>
      <w:r>
        <w:rPr>
          <w:rFonts w:hint="eastAsia" w:ascii="宋体" w:hAnsi="宋体" w:cs="宋体"/>
          <w:szCs w:val="21"/>
        </w:rPr>
        <w:t>处罚，罚金从履约保证金扣减。</w:t>
      </w:r>
    </w:p>
    <w:p w14:paraId="7A0E718D">
      <w:pPr>
        <w:spacing w:line="500" w:lineRule="exact"/>
        <w:ind w:firstLine="420" w:firstLineChars="200"/>
        <w:rPr>
          <w:rFonts w:ascii="宋体" w:hAnsi="宋体" w:cs="宋体"/>
          <w:szCs w:val="21"/>
        </w:rPr>
      </w:pPr>
      <w:r>
        <w:rPr>
          <w:rFonts w:hint="eastAsia" w:ascii="宋体" w:hAnsi="宋体" w:cs="宋体"/>
          <w:szCs w:val="21"/>
        </w:rPr>
        <w:t>（二）监督、检查乙方的经营行为。依据有关法律、法规、规章、行政规范性文件及本协议的有关规定，督促、检查乙方守法经营。对乙方监督检查的情况和处理结果，可以记录、归档和向公众公开。</w:t>
      </w:r>
    </w:p>
    <w:p w14:paraId="2FECAD9B">
      <w:pPr>
        <w:spacing w:line="500" w:lineRule="exact"/>
        <w:ind w:firstLine="420" w:firstLineChars="200"/>
        <w:rPr>
          <w:rFonts w:ascii="宋体" w:hAnsi="宋体" w:cs="宋体"/>
          <w:szCs w:val="21"/>
        </w:rPr>
      </w:pPr>
      <w:r>
        <w:rPr>
          <w:rFonts w:hint="eastAsia" w:ascii="宋体" w:hAnsi="宋体" w:cs="宋体"/>
          <w:szCs w:val="21"/>
        </w:rPr>
        <w:t>（三）监督、检查乙方履行义务。义务应包括本协议所列乙方的义务和其他应尽的法定义务。当发现乙方不履行义务的，可以依照有关法律法规和本协议的有关规定采取措施。</w:t>
      </w:r>
    </w:p>
    <w:p w14:paraId="3351D557">
      <w:pPr>
        <w:spacing w:line="500" w:lineRule="exact"/>
        <w:ind w:firstLine="420" w:firstLineChars="200"/>
        <w:rPr>
          <w:rFonts w:ascii="宋体" w:hAnsi="宋体" w:cs="宋体"/>
          <w:szCs w:val="21"/>
        </w:rPr>
      </w:pPr>
      <w:r>
        <w:rPr>
          <w:rFonts w:hint="eastAsia" w:ascii="宋体" w:hAnsi="宋体" w:cs="宋体"/>
          <w:szCs w:val="21"/>
        </w:rPr>
        <w:t>（四）收回共享单车资格及运营配额。在乙方发生本协议第八条第（三）、（四）、（六）项情形时，收回共享单车投放及运营配额。</w:t>
      </w:r>
    </w:p>
    <w:p w14:paraId="39ED74F5">
      <w:pPr>
        <w:spacing w:line="500" w:lineRule="exact"/>
        <w:ind w:firstLine="420" w:firstLineChars="200"/>
        <w:rPr>
          <w:rFonts w:ascii="宋体" w:hAnsi="宋体" w:cs="宋体"/>
          <w:szCs w:val="21"/>
        </w:rPr>
      </w:pPr>
      <w:r>
        <w:rPr>
          <w:rFonts w:hint="eastAsia" w:ascii="宋体" w:hAnsi="宋体" w:cs="宋体"/>
          <w:szCs w:val="21"/>
        </w:rPr>
        <w:t>第三条 甲方的义务</w:t>
      </w:r>
    </w:p>
    <w:p w14:paraId="6013B486">
      <w:pPr>
        <w:spacing w:line="500" w:lineRule="exact"/>
        <w:ind w:firstLine="420" w:firstLineChars="200"/>
        <w:rPr>
          <w:rFonts w:ascii="宋体" w:hAnsi="宋体" w:cs="宋体"/>
          <w:szCs w:val="21"/>
        </w:rPr>
      </w:pPr>
      <w:r>
        <w:rPr>
          <w:rFonts w:hint="eastAsia" w:ascii="宋体" w:hAnsi="宋体" w:cs="宋体"/>
          <w:szCs w:val="21"/>
        </w:rPr>
        <w:t>在符合法律、法规、规章、行政规范性文件和相关政策规定以及在甲方职权范围内，甲方应当履行以下义务：</w:t>
      </w:r>
    </w:p>
    <w:p w14:paraId="7F2B0632">
      <w:pPr>
        <w:spacing w:line="500" w:lineRule="exact"/>
        <w:ind w:firstLine="420" w:firstLineChars="200"/>
        <w:rPr>
          <w:rFonts w:ascii="宋体" w:hAnsi="宋体" w:cs="宋体"/>
          <w:szCs w:val="21"/>
        </w:rPr>
      </w:pPr>
      <w:r>
        <w:rPr>
          <w:rFonts w:hint="eastAsia" w:ascii="宋体" w:hAnsi="宋体" w:cs="宋体"/>
          <w:szCs w:val="21"/>
        </w:rPr>
        <w:t>（一）指导乙方建立健全本项目共享单车管理制度，管理制度应包括经营、安全、服务、人员、机构等。</w:t>
      </w:r>
    </w:p>
    <w:p w14:paraId="4EFCA9F6">
      <w:pPr>
        <w:spacing w:line="500" w:lineRule="exact"/>
        <w:ind w:firstLine="420" w:firstLineChars="200"/>
        <w:rPr>
          <w:rFonts w:ascii="宋体" w:hAnsi="宋体" w:cs="宋体"/>
          <w:szCs w:val="21"/>
        </w:rPr>
      </w:pPr>
      <w:r>
        <w:rPr>
          <w:rFonts w:hint="eastAsia" w:ascii="宋体" w:hAnsi="宋体" w:cs="宋体"/>
          <w:szCs w:val="21"/>
        </w:rPr>
        <w:t>（二）指导乙方处理突发事件。在乙方发生突发事件时，甲方应当积极帮助乙方协调相关部门，并在部门职责范围内予以支持。</w:t>
      </w:r>
    </w:p>
    <w:p w14:paraId="7EBF7943">
      <w:pPr>
        <w:spacing w:line="500" w:lineRule="exact"/>
        <w:ind w:firstLine="420" w:firstLineChars="200"/>
        <w:rPr>
          <w:rFonts w:ascii="宋体" w:hAnsi="宋体" w:cs="宋体"/>
          <w:szCs w:val="21"/>
        </w:rPr>
      </w:pPr>
      <w:r>
        <w:rPr>
          <w:rFonts w:hint="eastAsia" w:ascii="宋体" w:hAnsi="宋体" w:cs="宋体"/>
          <w:szCs w:val="21"/>
        </w:rPr>
        <w:t>（三）学校相关职能部门，积极研究校园共享单车管理，推动校园共享单车服务健康有序发展。</w:t>
      </w:r>
    </w:p>
    <w:p w14:paraId="66AF45B8">
      <w:pPr>
        <w:spacing w:line="500" w:lineRule="exact"/>
        <w:ind w:firstLine="420" w:firstLineChars="200"/>
        <w:rPr>
          <w:rFonts w:ascii="宋体" w:hAnsi="宋体" w:cs="宋体"/>
          <w:szCs w:val="21"/>
        </w:rPr>
      </w:pPr>
      <w:r>
        <w:rPr>
          <w:rFonts w:hint="eastAsia" w:ascii="宋体" w:hAnsi="宋体" w:cs="宋体"/>
          <w:szCs w:val="21"/>
        </w:rPr>
        <w:t>第四条 乙方的权利</w:t>
      </w:r>
    </w:p>
    <w:p w14:paraId="5C38B15A">
      <w:pPr>
        <w:spacing w:line="500" w:lineRule="exact"/>
        <w:ind w:firstLine="420" w:firstLineChars="200"/>
        <w:rPr>
          <w:rFonts w:ascii="宋体" w:hAnsi="宋体" w:cs="宋体"/>
          <w:szCs w:val="21"/>
        </w:rPr>
      </w:pPr>
      <w:r>
        <w:rPr>
          <w:rFonts w:hint="eastAsia" w:ascii="宋体" w:hAnsi="宋体" w:cs="宋体"/>
          <w:szCs w:val="21"/>
        </w:rPr>
        <w:t xml:space="preserve">（一）根据有关法律法规的规定和本协议的相关约定与要求选购自行车。 </w:t>
      </w:r>
    </w:p>
    <w:p w14:paraId="4AEF854D">
      <w:pPr>
        <w:spacing w:line="500" w:lineRule="exact"/>
        <w:ind w:firstLine="420" w:firstLineChars="200"/>
        <w:rPr>
          <w:rFonts w:ascii="宋体" w:hAnsi="宋体" w:cs="宋体"/>
          <w:szCs w:val="21"/>
        </w:rPr>
      </w:pPr>
      <w:r>
        <w:rPr>
          <w:rFonts w:hint="eastAsia" w:ascii="宋体" w:hAnsi="宋体" w:cs="宋体"/>
          <w:szCs w:val="21"/>
        </w:rPr>
        <w:t>（二）使用自有的营运车辆在指定区域内从事共享单车业务，并获得相应合法收益。</w:t>
      </w:r>
    </w:p>
    <w:p w14:paraId="1D818929">
      <w:pPr>
        <w:spacing w:line="500" w:lineRule="exact"/>
        <w:ind w:firstLine="420" w:firstLineChars="200"/>
        <w:rPr>
          <w:rFonts w:ascii="宋体" w:hAnsi="宋体" w:cs="宋体"/>
          <w:szCs w:val="21"/>
        </w:rPr>
      </w:pPr>
      <w:r>
        <w:rPr>
          <w:rFonts w:hint="eastAsia" w:ascii="宋体" w:hAnsi="宋体" w:cs="宋体"/>
          <w:szCs w:val="21"/>
        </w:rPr>
        <w:t>（三）依照规定接受相关行业信息、领取相关资料。</w:t>
      </w:r>
    </w:p>
    <w:p w14:paraId="1CE12B34">
      <w:pPr>
        <w:spacing w:line="500" w:lineRule="exact"/>
        <w:ind w:firstLine="420" w:firstLineChars="200"/>
        <w:rPr>
          <w:rFonts w:ascii="宋体" w:hAnsi="宋体" w:cs="宋体"/>
          <w:szCs w:val="21"/>
        </w:rPr>
      </w:pPr>
      <w:r>
        <w:rPr>
          <w:rFonts w:hint="eastAsia" w:ascii="宋体" w:hAnsi="宋体" w:cs="宋体"/>
          <w:szCs w:val="21"/>
        </w:rPr>
        <w:t>（四）在配额使用有效期内，可按有关规定更新车辆。</w:t>
      </w:r>
    </w:p>
    <w:p w14:paraId="4F4C4E7B">
      <w:pPr>
        <w:spacing w:line="500" w:lineRule="exact"/>
        <w:ind w:firstLine="420" w:firstLineChars="200"/>
        <w:rPr>
          <w:rFonts w:ascii="宋体" w:hAnsi="宋体" w:cs="宋体"/>
          <w:szCs w:val="21"/>
        </w:rPr>
      </w:pPr>
      <w:r>
        <w:rPr>
          <w:rFonts w:hint="eastAsia" w:ascii="宋体" w:hAnsi="宋体" w:cs="宋体"/>
          <w:szCs w:val="21"/>
        </w:rPr>
        <w:t>第五条 乙方的义务</w:t>
      </w:r>
    </w:p>
    <w:p w14:paraId="458E4639">
      <w:pPr>
        <w:spacing w:line="500" w:lineRule="exact"/>
        <w:ind w:firstLine="420" w:firstLineChars="200"/>
        <w:rPr>
          <w:rFonts w:ascii="宋体" w:hAnsi="宋体" w:cs="宋体"/>
          <w:szCs w:val="21"/>
        </w:rPr>
      </w:pPr>
      <w:r>
        <w:rPr>
          <w:rFonts w:hint="eastAsia" w:ascii="宋体" w:hAnsi="宋体" w:cs="宋体"/>
          <w:szCs w:val="21"/>
        </w:rPr>
        <w:t>（一）乙方需在中标后设立南宁市行政区域设立分支机构，本协议履行期内不得迁出本市行政区域。</w:t>
      </w:r>
    </w:p>
    <w:p w14:paraId="0B155790">
      <w:pPr>
        <w:spacing w:line="500" w:lineRule="exact"/>
        <w:ind w:firstLine="420" w:firstLineChars="200"/>
        <w:rPr>
          <w:rFonts w:ascii="宋体" w:hAnsi="宋体" w:cs="宋体"/>
          <w:szCs w:val="21"/>
        </w:rPr>
      </w:pPr>
      <w:r>
        <w:rPr>
          <w:rFonts w:hint="eastAsia" w:ascii="宋体" w:hAnsi="宋体" w:cs="宋体"/>
          <w:szCs w:val="21"/>
        </w:rPr>
        <w:t>（二）确保安全生产。</w:t>
      </w:r>
    </w:p>
    <w:p w14:paraId="241A3F51">
      <w:pPr>
        <w:spacing w:line="500" w:lineRule="exact"/>
        <w:ind w:firstLine="420" w:firstLineChars="200"/>
        <w:rPr>
          <w:rFonts w:ascii="宋体" w:hAnsi="宋体" w:cs="宋体"/>
          <w:szCs w:val="21"/>
        </w:rPr>
      </w:pPr>
      <w:r>
        <w:rPr>
          <w:rFonts w:hint="eastAsia" w:ascii="宋体" w:hAnsi="宋体" w:cs="宋体"/>
          <w:szCs w:val="21"/>
        </w:rPr>
        <w:t>1.建立、健全安全生产管理制度。其中包括安全生产责任制、安全生产操作规程、安全生产监督检查等制度。</w:t>
      </w:r>
    </w:p>
    <w:p w14:paraId="241B711A">
      <w:pPr>
        <w:spacing w:line="500" w:lineRule="exact"/>
        <w:ind w:firstLine="420" w:firstLineChars="200"/>
        <w:rPr>
          <w:rFonts w:ascii="宋体" w:hAnsi="宋体" w:cs="宋体"/>
          <w:szCs w:val="21"/>
        </w:rPr>
      </w:pPr>
      <w:r>
        <w:rPr>
          <w:rFonts w:hint="eastAsia" w:ascii="宋体" w:hAnsi="宋体" w:cs="宋体"/>
          <w:szCs w:val="21"/>
        </w:rPr>
        <w:t>2.开展安全教育。教育从业人员掌握必要的安全生产知识，熟悉有关的安全生产管理制度，掌握本岗位的安全操作技能。</w:t>
      </w:r>
    </w:p>
    <w:p w14:paraId="59C0DF36">
      <w:pPr>
        <w:spacing w:line="500" w:lineRule="exact"/>
        <w:ind w:firstLine="420" w:firstLineChars="200"/>
        <w:rPr>
          <w:rFonts w:ascii="宋体" w:hAnsi="宋体" w:cs="宋体"/>
          <w:szCs w:val="21"/>
        </w:rPr>
      </w:pPr>
      <w:r>
        <w:rPr>
          <w:rFonts w:hint="eastAsia" w:ascii="宋体" w:hAnsi="宋体" w:cs="宋体"/>
          <w:szCs w:val="21"/>
        </w:rPr>
        <w:t>3.及时消除生产安全事故隐患。定期对营运车辆技术状况进行检查，预防事故发生。强化对车辆使用人遵章守纪的约束管理，防止车辆使用人违章骑行。</w:t>
      </w:r>
    </w:p>
    <w:p w14:paraId="12D30785">
      <w:pPr>
        <w:spacing w:line="500" w:lineRule="exact"/>
        <w:ind w:firstLine="420" w:firstLineChars="200"/>
        <w:rPr>
          <w:rFonts w:ascii="宋体" w:hAnsi="宋体" w:cs="宋体"/>
          <w:szCs w:val="21"/>
        </w:rPr>
      </w:pPr>
      <w:r>
        <w:rPr>
          <w:rFonts w:hint="eastAsia" w:ascii="宋体" w:hAnsi="宋体" w:cs="宋体"/>
          <w:szCs w:val="21"/>
        </w:rPr>
        <w:t>4.制定并实施突发事件应急预案。应急预案应当包括报告程序、应急指挥、应急车辆和设备的储备，以及处置措施等内容。应急预案应当经演练保证能随时启动，其必要条款应当列入本企业的规章制度中执行。</w:t>
      </w:r>
    </w:p>
    <w:p w14:paraId="24B2A9EB">
      <w:pPr>
        <w:spacing w:line="500" w:lineRule="exact"/>
        <w:ind w:firstLine="420" w:firstLineChars="200"/>
        <w:rPr>
          <w:rFonts w:ascii="宋体" w:hAnsi="宋体" w:cs="宋体"/>
          <w:szCs w:val="21"/>
        </w:rPr>
      </w:pPr>
      <w:r>
        <w:rPr>
          <w:rFonts w:hint="eastAsia" w:ascii="宋体" w:hAnsi="宋体" w:cs="宋体"/>
          <w:szCs w:val="21"/>
        </w:rPr>
        <w:t>5.严格执行本企业 24 小时值班制度，及时、如实报告生产安全事故。</w:t>
      </w:r>
    </w:p>
    <w:p w14:paraId="78C5CD5D">
      <w:pPr>
        <w:spacing w:line="500" w:lineRule="exact"/>
        <w:ind w:firstLine="420" w:firstLineChars="200"/>
        <w:rPr>
          <w:rFonts w:ascii="宋体" w:hAnsi="宋体" w:cs="宋体"/>
          <w:szCs w:val="21"/>
        </w:rPr>
      </w:pPr>
      <w:r>
        <w:rPr>
          <w:rFonts w:hint="eastAsia" w:ascii="宋体" w:hAnsi="宋体" w:cs="宋体"/>
          <w:szCs w:val="21"/>
        </w:rPr>
        <w:t>（三）全资购买并提供车辆进行营运，包括：</w:t>
      </w:r>
    </w:p>
    <w:p w14:paraId="6F67873E">
      <w:pPr>
        <w:spacing w:line="500" w:lineRule="exact"/>
        <w:ind w:firstLine="420" w:firstLineChars="200"/>
        <w:rPr>
          <w:rFonts w:ascii="宋体" w:hAnsi="宋体" w:cs="宋体"/>
          <w:szCs w:val="21"/>
        </w:rPr>
      </w:pPr>
      <w:r>
        <w:rPr>
          <w:rFonts w:hint="eastAsia" w:ascii="宋体" w:hAnsi="宋体" w:cs="宋体"/>
          <w:szCs w:val="21"/>
        </w:rPr>
        <w:t>1.参加营运的车辆应当符合法律法规的规定和本协议的约定与要求。</w:t>
      </w:r>
    </w:p>
    <w:p w14:paraId="2D1A578F">
      <w:pPr>
        <w:spacing w:line="500" w:lineRule="exact"/>
        <w:ind w:firstLine="420" w:firstLineChars="200"/>
        <w:rPr>
          <w:rFonts w:ascii="宋体" w:hAnsi="宋体" w:cs="宋体"/>
          <w:szCs w:val="21"/>
        </w:rPr>
      </w:pPr>
      <w:r>
        <w:rPr>
          <w:rFonts w:hint="eastAsia" w:ascii="宋体" w:hAnsi="宋体" w:cs="宋体"/>
          <w:szCs w:val="21"/>
        </w:rPr>
        <w:t>2.及时维护和更新车辆。</w:t>
      </w:r>
    </w:p>
    <w:p w14:paraId="63A7D91B">
      <w:pPr>
        <w:spacing w:line="500" w:lineRule="exact"/>
        <w:ind w:firstLine="420" w:firstLineChars="200"/>
        <w:rPr>
          <w:rFonts w:ascii="宋体" w:hAnsi="宋体" w:cs="宋体"/>
          <w:szCs w:val="21"/>
        </w:rPr>
      </w:pPr>
      <w:r>
        <w:rPr>
          <w:rFonts w:hint="eastAsia" w:ascii="宋体" w:hAnsi="宋体" w:cs="宋体"/>
          <w:szCs w:val="21"/>
        </w:rPr>
        <w:t>3.加强对车辆保养维护和检测，建立和实施车辆安全定期检测制度。维护、保养、检测应当作好记录，并由有关人员签字。</w:t>
      </w:r>
    </w:p>
    <w:p w14:paraId="1BE3EE8A">
      <w:pPr>
        <w:spacing w:line="500" w:lineRule="exact"/>
        <w:ind w:firstLine="420" w:firstLineChars="200"/>
        <w:rPr>
          <w:rFonts w:ascii="宋体" w:hAnsi="宋体" w:cs="宋体"/>
          <w:szCs w:val="21"/>
        </w:rPr>
      </w:pPr>
      <w:r>
        <w:rPr>
          <w:rFonts w:hint="eastAsia" w:ascii="宋体" w:hAnsi="宋体" w:cs="宋体"/>
          <w:szCs w:val="21"/>
        </w:rPr>
        <w:t>4.按规定为车辆投保，险种包括但不仅包括骑行者人身意外伤害保险、第三者责任保险。</w:t>
      </w:r>
    </w:p>
    <w:p w14:paraId="12C31B47">
      <w:pPr>
        <w:spacing w:line="500" w:lineRule="exact"/>
        <w:ind w:firstLine="420" w:firstLineChars="200"/>
        <w:rPr>
          <w:rFonts w:ascii="宋体" w:hAnsi="宋体" w:cs="宋体"/>
          <w:szCs w:val="21"/>
        </w:rPr>
      </w:pPr>
      <w:r>
        <w:rPr>
          <w:rFonts w:hint="eastAsia" w:ascii="宋体" w:hAnsi="宋体" w:cs="宋体"/>
          <w:szCs w:val="21"/>
        </w:rPr>
        <w:t>5.自觉接受甲方对车辆的监督检查。</w:t>
      </w:r>
    </w:p>
    <w:p w14:paraId="13F619A0">
      <w:pPr>
        <w:spacing w:line="500" w:lineRule="exact"/>
        <w:ind w:firstLine="420" w:firstLineChars="200"/>
        <w:rPr>
          <w:rFonts w:ascii="宋体" w:hAnsi="宋体" w:cs="宋体"/>
          <w:szCs w:val="21"/>
        </w:rPr>
      </w:pPr>
      <w:r>
        <w:rPr>
          <w:rFonts w:hint="eastAsia" w:ascii="宋体" w:hAnsi="宋体" w:cs="宋体"/>
          <w:szCs w:val="21"/>
        </w:rPr>
        <w:t>（四）制订企业运营管理方案，规范营运行为。</w:t>
      </w:r>
    </w:p>
    <w:p w14:paraId="6B3EF82D">
      <w:pPr>
        <w:spacing w:line="500" w:lineRule="exact"/>
        <w:ind w:firstLine="420" w:firstLineChars="200"/>
        <w:rPr>
          <w:rFonts w:ascii="宋体" w:hAnsi="宋体" w:cs="宋体"/>
          <w:szCs w:val="21"/>
        </w:rPr>
      </w:pPr>
      <w:r>
        <w:rPr>
          <w:rFonts w:hint="eastAsia" w:ascii="宋体" w:hAnsi="宋体" w:cs="宋体"/>
          <w:szCs w:val="21"/>
        </w:rPr>
        <w:t>乙方承诺在共享单车投放及运营配额使用期内，制订企业运营管理方案，并按照以下规范和要求做好运营服务管理。</w:t>
      </w:r>
    </w:p>
    <w:p w14:paraId="028A29D1">
      <w:pPr>
        <w:spacing w:line="500" w:lineRule="exact"/>
        <w:ind w:firstLine="420" w:firstLineChars="200"/>
        <w:rPr>
          <w:rFonts w:ascii="宋体" w:hAnsi="宋体" w:cs="宋体"/>
          <w:szCs w:val="21"/>
        </w:rPr>
      </w:pPr>
      <w:r>
        <w:rPr>
          <w:rFonts w:hint="eastAsia" w:ascii="宋体" w:hAnsi="宋体" w:cs="宋体"/>
          <w:szCs w:val="21"/>
        </w:rPr>
        <w:t>1.规范收费，明码标价。需在每辆投放车辆明显部位标明收费标准。</w:t>
      </w:r>
    </w:p>
    <w:p w14:paraId="39872C53">
      <w:pPr>
        <w:spacing w:line="500" w:lineRule="exact"/>
        <w:ind w:firstLine="420" w:firstLineChars="200"/>
        <w:rPr>
          <w:rFonts w:ascii="宋体" w:hAnsi="宋体" w:cs="宋体"/>
          <w:szCs w:val="21"/>
        </w:rPr>
      </w:pPr>
      <w:r>
        <w:rPr>
          <w:rFonts w:hint="eastAsia" w:ascii="宋体" w:hAnsi="宋体" w:cs="宋体"/>
          <w:szCs w:val="21"/>
        </w:rPr>
        <w:t>2.实行用户实名制注册和使用，不得为未满 16 周岁的人员提供车辆使用服务。建立用户用车信用评价体系和守信激励、失信惩戒等管理机制, 引导用户形成良好的用车习惯。</w:t>
      </w:r>
    </w:p>
    <w:p w14:paraId="4DA2D259">
      <w:pPr>
        <w:spacing w:line="500" w:lineRule="exact"/>
        <w:ind w:firstLine="420" w:firstLineChars="200"/>
        <w:rPr>
          <w:rFonts w:ascii="宋体" w:hAnsi="宋体" w:cs="宋体"/>
          <w:szCs w:val="21"/>
        </w:rPr>
      </w:pPr>
      <w:r>
        <w:rPr>
          <w:rFonts w:hint="eastAsia" w:ascii="宋体" w:hAnsi="宋体" w:cs="宋体"/>
          <w:szCs w:val="21"/>
        </w:rPr>
        <w:t>3.建立和落实区域车辆总量平衡和调度管理制度。运营范围行政区域内各投放区的车辆投放总量不得超过甲方设定的区域车辆总量上限，并通过企业信息管理系统实时监测各投放区内的车辆数量变化情况。甲方通过乙方 APP 或第三方平台小程序监测到车辆超量告警信息的，乙方应在在收到警告信息 48 小时内处理完毕、重点区域车辆超量情况须在收到警告信息2 小时内处理完毕。</w:t>
      </w:r>
    </w:p>
    <w:p w14:paraId="0BDE33BD">
      <w:pPr>
        <w:spacing w:line="500" w:lineRule="exact"/>
        <w:ind w:firstLine="420" w:firstLineChars="200"/>
        <w:rPr>
          <w:rFonts w:ascii="宋体" w:hAnsi="宋体" w:cs="宋体"/>
          <w:szCs w:val="21"/>
        </w:rPr>
      </w:pPr>
      <w:r>
        <w:rPr>
          <w:rFonts w:hint="eastAsia" w:ascii="宋体" w:hAnsi="宋体" w:cs="宋体"/>
          <w:szCs w:val="21"/>
        </w:rPr>
        <w:t>4.按照投标承诺配置专门的现场运维管理人员，武鸣校区不少于3人，五合校区不少于1人，向甲方提交书面说明材料、相关证明（包括但不限于现场运维管理人员聘用方式、花名册和联系方式等），并接受甲方的检查、核验。</w:t>
      </w:r>
    </w:p>
    <w:p w14:paraId="7ED9903F">
      <w:pPr>
        <w:spacing w:line="500" w:lineRule="exact"/>
        <w:ind w:firstLine="420" w:firstLineChars="200"/>
        <w:rPr>
          <w:rFonts w:ascii="宋体" w:hAnsi="宋体" w:cs="宋体"/>
          <w:szCs w:val="21"/>
        </w:rPr>
      </w:pPr>
      <w:r>
        <w:rPr>
          <w:rFonts w:hint="eastAsia" w:ascii="宋体" w:hAnsi="宋体" w:cs="宋体"/>
          <w:szCs w:val="21"/>
        </w:rPr>
        <w:t>5.建立和落实网格化现场管理制度，并配置足够的现场网格管理人员负责网格内车辆停放秩序管理、车辆故障报修、车辆调度安排等具体现场运维管理工作。应在高峰期安排专人负责车辆停放秩序管理，避免车辆过度集中影响行人、机动车的正常通行等影响道路交通畅顺和安全的出现。现场网格服务人员应穿着或者佩戴标明单位的服务标志，武鸣校区的现场网格维护车辆秩序服务人员晚上保持有人上班到23:00，将各区域停放的共享单车整理摆放整齐包括但不限于清理占用消防通道和机动车通道、行人通道的单车方可下班。</w:t>
      </w:r>
    </w:p>
    <w:p w14:paraId="2ECD0532">
      <w:pPr>
        <w:spacing w:line="500" w:lineRule="exact"/>
        <w:ind w:firstLine="420" w:firstLineChars="200"/>
        <w:rPr>
          <w:rFonts w:ascii="宋体" w:hAnsi="宋体" w:cs="宋体"/>
          <w:szCs w:val="21"/>
        </w:rPr>
      </w:pPr>
      <w:r>
        <w:rPr>
          <w:rFonts w:hint="eastAsia" w:ascii="宋体" w:hAnsi="宋体" w:cs="宋体"/>
          <w:szCs w:val="21"/>
        </w:rPr>
        <w:t>6.将运营平台数据按相关部门要求接入甲方指定的政府行业监管平台，包括但不限于车辆身份信息、车辆实时位置信息、订单数据、车辆轨迹、用户信用管理信息，以及其他涉及公共利益的信息等，并接收行业监管平台反馈的管理信息。</w:t>
      </w:r>
    </w:p>
    <w:p w14:paraId="08695404">
      <w:pPr>
        <w:spacing w:line="500" w:lineRule="exact"/>
        <w:ind w:firstLine="420" w:firstLineChars="200"/>
        <w:rPr>
          <w:rFonts w:ascii="宋体" w:hAnsi="宋体" w:cs="宋体"/>
          <w:szCs w:val="21"/>
        </w:rPr>
      </w:pPr>
      <w:r>
        <w:rPr>
          <w:rFonts w:hint="eastAsia" w:ascii="宋体" w:hAnsi="宋体" w:cs="宋体"/>
          <w:szCs w:val="21"/>
        </w:rPr>
        <w:t>7.乙方只能在经相关部门批准的现有的人行道非机动车停车泊位建设共享单车停放高精度电子围栏站点，车辆的投放和停放应位于非机动车停车泊位内。车辆摆放整齐有序，在其他区域未明确划有人行道非机动车停车泊位的地方，车辆投放和停放不得占用机动车道、绿道、绿地、隔离带、无障碍设施等区域和设施，也不得妨碍行人和其他车辆的正常通行.</w:t>
      </w:r>
    </w:p>
    <w:p w14:paraId="145E525B">
      <w:pPr>
        <w:spacing w:line="500" w:lineRule="exact"/>
        <w:ind w:firstLine="420" w:firstLineChars="200"/>
        <w:rPr>
          <w:rFonts w:ascii="宋体" w:hAnsi="宋体" w:cs="宋体"/>
          <w:szCs w:val="21"/>
        </w:rPr>
      </w:pPr>
      <w:r>
        <w:rPr>
          <w:rFonts w:hint="eastAsia" w:ascii="宋体" w:hAnsi="宋体" w:cs="宋体"/>
          <w:szCs w:val="21"/>
        </w:rPr>
        <w:t>8.采用人工查找和运营平台查找相结合的方式查找故障车辆,对故障车辆用明确标识加以区别，并应在 48 小时内将车辆拖离故障现场，送至维保场地。故障车辆维修不得占用公共空间。</w:t>
      </w:r>
    </w:p>
    <w:p w14:paraId="2FCE36CC">
      <w:pPr>
        <w:spacing w:line="500" w:lineRule="exact"/>
        <w:ind w:firstLine="420" w:firstLineChars="200"/>
        <w:rPr>
          <w:rFonts w:ascii="宋体" w:hAnsi="宋体" w:cs="宋体"/>
          <w:szCs w:val="21"/>
        </w:rPr>
      </w:pPr>
      <w:r>
        <w:rPr>
          <w:rFonts w:hint="eastAsia" w:ascii="宋体" w:hAnsi="宋体" w:cs="宋体"/>
          <w:szCs w:val="21"/>
        </w:rPr>
        <w:t>9.定期做好车辆清洁消毒，对车身张贴违法小广告、虚假二维码等及时进行清除，清理车身表面污染物，确保车容车貌整洁、卫生、无异味,确保车容车貌整洁。</w:t>
      </w:r>
    </w:p>
    <w:p w14:paraId="6C961DE2">
      <w:pPr>
        <w:spacing w:line="500" w:lineRule="exact"/>
        <w:ind w:firstLine="420" w:firstLineChars="200"/>
        <w:rPr>
          <w:rFonts w:ascii="宋体" w:hAnsi="宋体" w:cs="宋体"/>
          <w:szCs w:val="21"/>
        </w:rPr>
      </w:pPr>
      <w:r>
        <w:rPr>
          <w:rFonts w:hint="eastAsia" w:ascii="宋体" w:hAnsi="宋体" w:cs="宋体"/>
          <w:szCs w:val="21"/>
        </w:rPr>
        <w:t>10.建立多形式多渠道的投诉受理、问题处理和结果反馈机制，确保能够及时收到举报。媒体报道、政府部门巡查发现以及监管平台反馈的运营车辆停放秩序存在问题，或对于甲方工作人员通过电话、微信等其他方式直接反馈的运营车辆停放秩序等问题，乙方于知道时起 30 分钟内处置完毕。</w:t>
      </w:r>
    </w:p>
    <w:p w14:paraId="13B52D9B">
      <w:pPr>
        <w:spacing w:line="500" w:lineRule="exact"/>
        <w:ind w:firstLine="420" w:firstLineChars="200"/>
        <w:rPr>
          <w:rFonts w:ascii="宋体" w:hAnsi="宋体" w:cs="宋体"/>
          <w:szCs w:val="21"/>
        </w:rPr>
      </w:pPr>
      <w:r>
        <w:rPr>
          <w:rFonts w:hint="eastAsia" w:ascii="宋体" w:hAnsi="宋体" w:cs="宋体"/>
          <w:szCs w:val="21"/>
        </w:rPr>
        <w:t>11.制定高峰期车辆运营调度计划，加强车辆日常调度管理，缓解车辆潮汐现象，对高峰期车辆聚集规模较大的重点区域，高峰期应设置专职管理员负责疏导和调度，避免车辆过度集中影响行人、机动车的正常通行和师生出行使用。</w:t>
      </w:r>
    </w:p>
    <w:p w14:paraId="4873F502">
      <w:pPr>
        <w:spacing w:line="500" w:lineRule="exact"/>
        <w:ind w:firstLine="420" w:firstLineChars="200"/>
        <w:rPr>
          <w:rFonts w:ascii="宋体" w:hAnsi="宋体" w:cs="宋体"/>
          <w:szCs w:val="21"/>
        </w:rPr>
      </w:pPr>
      <w:r>
        <w:rPr>
          <w:rFonts w:hint="eastAsia" w:ascii="宋体" w:hAnsi="宋体" w:cs="宋体"/>
          <w:szCs w:val="21"/>
        </w:rPr>
        <w:t>12.暂停或终止运营的，须提前 30 日书面告知甲方，说明有关情况，并向社会公告。在终止运营之前，将用户预存金等退还用户，收回投放的全部车辆，并撤除相关运营设施、设备。</w:t>
      </w:r>
    </w:p>
    <w:p w14:paraId="014F6340">
      <w:pPr>
        <w:spacing w:line="500" w:lineRule="exact"/>
        <w:ind w:firstLine="420" w:firstLineChars="200"/>
        <w:rPr>
          <w:rFonts w:ascii="宋体" w:hAnsi="宋体" w:cs="宋体"/>
          <w:szCs w:val="21"/>
        </w:rPr>
      </w:pPr>
      <w:r>
        <w:rPr>
          <w:rFonts w:hint="eastAsia" w:ascii="宋体" w:hAnsi="宋体" w:cs="宋体"/>
          <w:szCs w:val="21"/>
        </w:rPr>
        <w:t>（五）保障用户资金安全。</w:t>
      </w:r>
    </w:p>
    <w:p w14:paraId="2D671334">
      <w:pPr>
        <w:spacing w:line="500" w:lineRule="exact"/>
        <w:ind w:firstLine="420" w:firstLineChars="200"/>
        <w:rPr>
          <w:rFonts w:ascii="宋体" w:hAnsi="宋体" w:cs="宋体"/>
          <w:szCs w:val="21"/>
        </w:rPr>
      </w:pPr>
      <w:r>
        <w:rPr>
          <w:rFonts w:hint="eastAsia" w:ascii="宋体" w:hAnsi="宋体" w:cs="宋体"/>
          <w:szCs w:val="21"/>
        </w:rPr>
        <w:t>乙方应实施骑行免押金、后付费、明码标价等措施，建立完善用户资金安全保障制度，与金融机构合作，通过金融监管手段，按照企业营运配额产生用户押金（或保证金等预收费用）的一定比例留存资金专户存放，同时根据押金（或保证金等预收费用）变动情况定期调整存放资金数额，提高押金风险防控能力。</w:t>
      </w:r>
    </w:p>
    <w:p w14:paraId="0E52DA41">
      <w:pPr>
        <w:spacing w:line="500" w:lineRule="exact"/>
        <w:ind w:firstLine="420" w:firstLineChars="200"/>
        <w:rPr>
          <w:rFonts w:ascii="宋体" w:hAnsi="宋体" w:cs="宋体"/>
          <w:szCs w:val="21"/>
        </w:rPr>
      </w:pPr>
      <w:r>
        <w:rPr>
          <w:rFonts w:hint="eastAsia" w:ascii="宋体" w:hAnsi="宋体" w:cs="宋体"/>
          <w:szCs w:val="21"/>
        </w:rPr>
        <w:t>（六）承担相应社会责任。</w:t>
      </w:r>
    </w:p>
    <w:p w14:paraId="3C0A89FB">
      <w:pPr>
        <w:spacing w:line="500" w:lineRule="exact"/>
        <w:ind w:firstLine="420" w:firstLineChars="200"/>
        <w:rPr>
          <w:rFonts w:ascii="宋体" w:hAnsi="宋体" w:cs="宋体"/>
          <w:szCs w:val="21"/>
        </w:rPr>
      </w:pPr>
      <w:r>
        <w:rPr>
          <w:rFonts w:hint="eastAsia" w:ascii="宋体" w:hAnsi="宋体" w:cs="宋体"/>
          <w:szCs w:val="21"/>
        </w:rPr>
        <w:t>1.诚实信用，公平竞争。</w:t>
      </w:r>
    </w:p>
    <w:p w14:paraId="6C9D949D">
      <w:pPr>
        <w:spacing w:line="500" w:lineRule="exact"/>
        <w:ind w:firstLine="420" w:firstLineChars="200"/>
        <w:rPr>
          <w:rFonts w:ascii="宋体" w:hAnsi="宋体" w:cs="宋体"/>
          <w:szCs w:val="21"/>
        </w:rPr>
      </w:pPr>
      <w:r>
        <w:rPr>
          <w:rFonts w:hint="eastAsia" w:ascii="宋体" w:hAnsi="宋体" w:cs="宋体"/>
          <w:szCs w:val="21"/>
        </w:rPr>
        <w:t>2.按时按标准足额缴纳税费。</w:t>
      </w:r>
    </w:p>
    <w:p w14:paraId="3C40D23E">
      <w:pPr>
        <w:spacing w:line="500" w:lineRule="exact"/>
        <w:ind w:firstLine="420" w:firstLineChars="200"/>
        <w:rPr>
          <w:rFonts w:ascii="宋体" w:hAnsi="宋体" w:cs="宋体"/>
          <w:szCs w:val="21"/>
        </w:rPr>
      </w:pPr>
      <w:r>
        <w:rPr>
          <w:rFonts w:hint="eastAsia" w:ascii="宋体" w:hAnsi="宋体" w:cs="宋体"/>
          <w:szCs w:val="21"/>
        </w:rPr>
        <w:t>3.在经营过程中合并、分立、改组的，要保证服务的连续性。不因资产的处置和人员的安置工作而停止。</w:t>
      </w:r>
    </w:p>
    <w:p w14:paraId="45F39D10">
      <w:pPr>
        <w:spacing w:line="500" w:lineRule="exact"/>
        <w:ind w:firstLine="420" w:firstLineChars="200"/>
        <w:rPr>
          <w:rFonts w:ascii="宋体" w:hAnsi="宋体" w:cs="宋体"/>
          <w:szCs w:val="21"/>
        </w:rPr>
      </w:pPr>
      <w:r>
        <w:rPr>
          <w:rFonts w:hint="eastAsia" w:ascii="宋体" w:hAnsi="宋体" w:cs="宋体"/>
          <w:szCs w:val="21"/>
        </w:rPr>
        <w:t>4.在出现重大安全生产事故时，应当采取包括自行停产整改在内的有效措施，避免事态的扩大。</w:t>
      </w:r>
    </w:p>
    <w:p w14:paraId="05E2F1D8">
      <w:pPr>
        <w:spacing w:line="500" w:lineRule="exact"/>
        <w:ind w:firstLine="420" w:firstLineChars="200"/>
        <w:rPr>
          <w:rFonts w:ascii="宋体" w:hAnsi="宋体" w:cs="宋体"/>
          <w:szCs w:val="21"/>
        </w:rPr>
      </w:pPr>
      <w:r>
        <w:rPr>
          <w:rFonts w:hint="eastAsia" w:ascii="宋体" w:hAnsi="宋体" w:cs="宋体"/>
          <w:szCs w:val="21"/>
        </w:rPr>
        <w:t>5.按照甲方要求，提供其它与共享单车运营相关的社会公共服务，包括但不限于重大活动、重要节假日期间对重点区域和路段落实车辆使用、移动、停放秩序规整等现场秩序保障服务。</w:t>
      </w:r>
    </w:p>
    <w:p w14:paraId="4CF39B43">
      <w:pPr>
        <w:spacing w:line="500" w:lineRule="exact"/>
        <w:ind w:firstLine="420" w:firstLineChars="200"/>
        <w:rPr>
          <w:rFonts w:ascii="宋体" w:hAnsi="宋体" w:cs="宋体"/>
          <w:szCs w:val="21"/>
        </w:rPr>
      </w:pPr>
      <w:r>
        <w:rPr>
          <w:rFonts w:hint="eastAsia" w:ascii="宋体" w:hAnsi="宋体" w:cs="宋体"/>
          <w:szCs w:val="21"/>
        </w:rPr>
        <w:t>（七）按照有关程序规定，组织开展关于共享单车依法、规范使用和有序停放的公益宣传活动，营造良好的社会环境。</w:t>
      </w:r>
    </w:p>
    <w:p w14:paraId="277A6DED">
      <w:pPr>
        <w:spacing w:line="500" w:lineRule="exact"/>
        <w:ind w:firstLine="420" w:firstLineChars="200"/>
        <w:rPr>
          <w:rFonts w:ascii="宋体" w:hAnsi="宋体" w:cs="宋体"/>
          <w:szCs w:val="21"/>
        </w:rPr>
      </w:pPr>
      <w:r>
        <w:rPr>
          <w:rFonts w:hint="eastAsia" w:ascii="宋体" w:hAnsi="宋体" w:cs="宋体"/>
          <w:szCs w:val="21"/>
        </w:rPr>
        <w:t>（八）认真履行法律、法规、规章和规范性文件的其他规定与要求。</w:t>
      </w:r>
    </w:p>
    <w:p w14:paraId="0970F352">
      <w:pPr>
        <w:spacing w:line="500" w:lineRule="exact"/>
        <w:ind w:firstLine="420" w:firstLineChars="200"/>
        <w:rPr>
          <w:rFonts w:ascii="宋体" w:hAnsi="宋体" w:cs="宋体"/>
          <w:szCs w:val="21"/>
        </w:rPr>
      </w:pPr>
      <w:r>
        <w:rPr>
          <w:rFonts w:hint="eastAsia" w:ascii="宋体" w:hAnsi="宋体" w:cs="宋体"/>
          <w:szCs w:val="21"/>
        </w:rPr>
        <w:t>第六条 乙方应当服从甲方依法开展的行业管理工作和要求。</w:t>
      </w:r>
    </w:p>
    <w:p w14:paraId="3008A090">
      <w:pPr>
        <w:spacing w:line="500" w:lineRule="exact"/>
        <w:ind w:firstLine="420" w:firstLineChars="200"/>
        <w:rPr>
          <w:rFonts w:ascii="宋体" w:hAnsi="宋体" w:cs="宋体"/>
          <w:szCs w:val="21"/>
        </w:rPr>
      </w:pPr>
      <w:r>
        <w:rPr>
          <w:rFonts w:hint="eastAsia" w:ascii="宋体" w:hAnsi="宋体" w:cs="宋体"/>
          <w:szCs w:val="21"/>
        </w:rPr>
        <w:t>甲方根据法律规定、本协议约定要求及乙方的承诺，定期对投放及运营配额使用情况进行考核。对乙方违反法律、违反本协议约定、及其承诺所承诺的义务的，甲方有权依法处理。乙方承诺的事项，须在承诺的时限内履行完毕。</w:t>
      </w:r>
    </w:p>
    <w:p w14:paraId="171345C4">
      <w:pPr>
        <w:spacing w:line="500" w:lineRule="exact"/>
        <w:ind w:firstLine="420" w:firstLineChars="200"/>
        <w:rPr>
          <w:rFonts w:ascii="宋体" w:hAnsi="宋体" w:cs="宋体"/>
          <w:szCs w:val="21"/>
        </w:rPr>
      </w:pPr>
      <w:r>
        <w:rPr>
          <w:rFonts w:hint="eastAsia" w:ascii="宋体" w:hAnsi="宋体" w:cs="宋体"/>
          <w:szCs w:val="21"/>
        </w:rPr>
        <w:t>第七条 乙方提出解除合同关系的，应当提交书面申请。乙方在甲方作出答复前，应当保证正常的经营与服务。</w:t>
      </w:r>
    </w:p>
    <w:p w14:paraId="137E8EF9">
      <w:pPr>
        <w:spacing w:line="500" w:lineRule="exact"/>
        <w:ind w:firstLine="420" w:firstLineChars="200"/>
        <w:rPr>
          <w:rFonts w:ascii="宋体" w:hAnsi="宋体" w:cs="宋体"/>
          <w:szCs w:val="21"/>
        </w:rPr>
      </w:pPr>
      <w:r>
        <w:rPr>
          <w:rFonts w:hint="eastAsia" w:ascii="宋体" w:hAnsi="宋体" w:cs="宋体"/>
          <w:szCs w:val="21"/>
        </w:rPr>
        <w:t>第八条 违约责任</w:t>
      </w:r>
    </w:p>
    <w:p w14:paraId="6D2227E1">
      <w:pPr>
        <w:spacing w:line="500" w:lineRule="exact"/>
        <w:ind w:firstLine="420" w:firstLineChars="200"/>
        <w:rPr>
          <w:rFonts w:ascii="宋体" w:hAnsi="宋体" w:cs="宋体"/>
          <w:szCs w:val="21"/>
        </w:rPr>
      </w:pPr>
      <w:r>
        <w:rPr>
          <w:rFonts w:hint="eastAsia" w:ascii="宋体" w:hAnsi="宋体" w:cs="宋体"/>
          <w:szCs w:val="21"/>
        </w:rPr>
        <w:t>（一）甲方违反本协议约定义务的，应当依法承担相应的责任。</w:t>
      </w:r>
    </w:p>
    <w:p w14:paraId="42C57A43">
      <w:pPr>
        <w:spacing w:line="500" w:lineRule="exact"/>
        <w:ind w:firstLine="420" w:firstLineChars="200"/>
        <w:rPr>
          <w:rFonts w:ascii="宋体" w:hAnsi="宋体" w:cs="宋体"/>
          <w:szCs w:val="21"/>
        </w:rPr>
      </w:pPr>
      <w:r>
        <w:rPr>
          <w:rFonts w:hint="eastAsia" w:ascii="宋体" w:hAnsi="宋体" w:cs="宋体"/>
          <w:szCs w:val="21"/>
        </w:rPr>
        <w:t>（二）乙方在投放及运营配额使用期限内有以下行为之一的，甲方可责令乙方限期改正并依法承担相应的法律责任：</w:t>
      </w:r>
    </w:p>
    <w:p w14:paraId="0CE7E6A0">
      <w:pPr>
        <w:spacing w:line="500" w:lineRule="exact"/>
        <w:ind w:firstLine="420" w:firstLineChars="200"/>
        <w:rPr>
          <w:rFonts w:ascii="宋体" w:hAnsi="宋体" w:cs="宋体"/>
          <w:szCs w:val="21"/>
        </w:rPr>
      </w:pPr>
      <w:r>
        <w:rPr>
          <w:rFonts w:hint="eastAsia" w:ascii="宋体" w:hAnsi="宋体" w:cs="宋体"/>
          <w:szCs w:val="21"/>
        </w:rPr>
        <w:t>1.整体共享单车投放及运营配额使用情况与合同要求不一致的。</w:t>
      </w:r>
    </w:p>
    <w:p w14:paraId="5165DF39">
      <w:pPr>
        <w:spacing w:line="500" w:lineRule="exact"/>
        <w:ind w:firstLine="420" w:firstLineChars="200"/>
        <w:rPr>
          <w:rFonts w:ascii="宋体" w:hAnsi="宋体" w:cs="宋体"/>
          <w:szCs w:val="21"/>
        </w:rPr>
      </w:pPr>
      <w:r>
        <w:rPr>
          <w:rFonts w:hint="eastAsia" w:ascii="宋体" w:hAnsi="宋体" w:cs="宋体"/>
          <w:szCs w:val="21"/>
        </w:rPr>
        <w:t>2.发生重大服务质量事故、负主要责任的道路交通事故，对社会造成恶劣影响的〔①重大服务质量事故是指因服务质量问题（如违反用户使用协议约定，对用户投诉未在合理时间内处理或者处理不当等）引起省市级以上媒体负面报道的事件;②负主要责任的安全生产事故是指因企业安全生产管理制度缺失或者执行不到位引发的造成人身伤亡或者直接经济损失的事故〕。</w:t>
      </w:r>
    </w:p>
    <w:p w14:paraId="32FA8342">
      <w:pPr>
        <w:spacing w:line="500" w:lineRule="exact"/>
        <w:ind w:firstLine="420" w:firstLineChars="200"/>
        <w:rPr>
          <w:rFonts w:ascii="宋体" w:hAnsi="宋体" w:cs="宋体"/>
          <w:szCs w:val="21"/>
        </w:rPr>
      </w:pPr>
      <w:r>
        <w:rPr>
          <w:rFonts w:hint="eastAsia" w:ascii="宋体" w:hAnsi="宋体" w:cs="宋体"/>
          <w:szCs w:val="21"/>
        </w:rPr>
        <w:t>3.因管理不善、处置不当等原因，引发不稳定事件（包括但不限于出现企业间不正常竞争，用户、员工集体上访维权等事件）；</w:t>
      </w:r>
    </w:p>
    <w:p w14:paraId="794B7464">
      <w:pPr>
        <w:spacing w:line="500" w:lineRule="exact"/>
        <w:ind w:firstLine="420" w:firstLineChars="200"/>
        <w:rPr>
          <w:rFonts w:ascii="宋体" w:hAnsi="宋体" w:cs="宋体"/>
          <w:szCs w:val="21"/>
        </w:rPr>
      </w:pPr>
      <w:r>
        <w:rPr>
          <w:rFonts w:hint="eastAsia" w:ascii="宋体" w:hAnsi="宋体" w:cs="宋体"/>
          <w:szCs w:val="21"/>
        </w:rPr>
        <w:t>4.违反本协议第五条的相关要求的；</w:t>
      </w:r>
    </w:p>
    <w:p w14:paraId="78C9ED2C">
      <w:pPr>
        <w:spacing w:line="500" w:lineRule="exact"/>
        <w:ind w:firstLine="420" w:firstLineChars="200"/>
        <w:rPr>
          <w:rFonts w:ascii="宋体" w:hAnsi="宋体" w:cs="宋体"/>
          <w:szCs w:val="21"/>
        </w:rPr>
      </w:pPr>
      <w:r>
        <w:rPr>
          <w:rFonts w:hint="eastAsia" w:ascii="宋体" w:hAnsi="宋体" w:cs="宋体"/>
          <w:szCs w:val="21"/>
        </w:rPr>
        <w:t>5.法律法规规定须作出整改的其他情形的。</w:t>
      </w:r>
    </w:p>
    <w:p w14:paraId="5B48FF18">
      <w:pPr>
        <w:spacing w:line="500" w:lineRule="exact"/>
        <w:ind w:firstLine="420" w:firstLineChars="200"/>
        <w:rPr>
          <w:rFonts w:ascii="宋体" w:hAnsi="宋体" w:cs="宋体"/>
          <w:szCs w:val="21"/>
        </w:rPr>
      </w:pPr>
      <w:r>
        <w:rPr>
          <w:rFonts w:hint="eastAsia" w:ascii="宋体" w:hAnsi="宋体" w:cs="宋体"/>
          <w:szCs w:val="21"/>
        </w:rPr>
        <w:t>（三）乙方发生如下情况，甲方有权收回其全部共享单车投放及运营配额，已经投入营运的车辆，乙方应当在甲方指定的期限内回收完毕，逾期未回收或未清场完毕的，则视为乙方自愿放弃其所有权，甲方及其受委托人和车辆所在地的相关管理部门有权对其采取清理、挪移、集中代管、报废、变卖等处置措施，乙方认可上述处理且不追究本协议责任和法律责任：</w:t>
      </w:r>
    </w:p>
    <w:p w14:paraId="7B8286FA">
      <w:pPr>
        <w:spacing w:line="500" w:lineRule="exact"/>
        <w:ind w:firstLine="420" w:firstLineChars="200"/>
        <w:rPr>
          <w:rFonts w:ascii="宋体" w:hAnsi="宋体" w:cs="宋体"/>
          <w:szCs w:val="21"/>
        </w:rPr>
      </w:pPr>
      <w:r>
        <w:rPr>
          <w:rFonts w:hint="eastAsia" w:ascii="宋体" w:hAnsi="宋体" w:cs="宋体"/>
          <w:szCs w:val="21"/>
        </w:rPr>
        <w:t>1.乙方取得投放及运营配额后，擅自转让或转交他人使用的；</w:t>
      </w:r>
    </w:p>
    <w:p w14:paraId="2387C2E3">
      <w:pPr>
        <w:spacing w:line="500" w:lineRule="exact"/>
        <w:ind w:firstLine="420" w:firstLineChars="200"/>
        <w:rPr>
          <w:rFonts w:ascii="宋体" w:hAnsi="宋体" w:cs="宋体"/>
          <w:szCs w:val="21"/>
        </w:rPr>
      </w:pPr>
      <w:r>
        <w:rPr>
          <w:rFonts w:hint="eastAsia" w:ascii="宋体" w:hAnsi="宋体" w:cs="宋体"/>
          <w:szCs w:val="21"/>
        </w:rPr>
        <w:t>2.未按时按标准足额缴纳税费的；</w:t>
      </w:r>
    </w:p>
    <w:p w14:paraId="512F277E">
      <w:pPr>
        <w:spacing w:line="500" w:lineRule="exact"/>
        <w:ind w:firstLine="420" w:firstLineChars="200"/>
        <w:rPr>
          <w:rFonts w:ascii="宋体" w:hAnsi="宋体" w:cs="宋体"/>
          <w:szCs w:val="21"/>
        </w:rPr>
      </w:pPr>
      <w:r>
        <w:rPr>
          <w:rFonts w:hint="eastAsia" w:ascii="宋体" w:hAnsi="宋体" w:cs="宋体"/>
          <w:szCs w:val="21"/>
        </w:rPr>
        <w:t>3.乙方出现违反合同要约规定的；</w:t>
      </w:r>
    </w:p>
    <w:p w14:paraId="27F13B73">
      <w:pPr>
        <w:spacing w:line="500" w:lineRule="exact"/>
        <w:ind w:firstLine="420" w:firstLineChars="200"/>
        <w:rPr>
          <w:rFonts w:ascii="宋体" w:hAnsi="宋体" w:cs="宋体"/>
          <w:szCs w:val="21"/>
        </w:rPr>
      </w:pPr>
      <w:r>
        <w:rPr>
          <w:rFonts w:hint="eastAsia" w:ascii="宋体" w:hAnsi="宋体" w:cs="宋体"/>
          <w:szCs w:val="21"/>
        </w:rPr>
        <w:t>4.乙方因管理不善、处置不当等原因，发生不稳定事件，造成严重负面影响的；</w:t>
      </w:r>
    </w:p>
    <w:p w14:paraId="1B2247F3">
      <w:pPr>
        <w:spacing w:line="500" w:lineRule="exact"/>
        <w:ind w:firstLine="420" w:firstLineChars="200"/>
        <w:rPr>
          <w:rFonts w:ascii="宋体" w:hAnsi="宋体" w:cs="宋体"/>
          <w:szCs w:val="21"/>
        </w:rPr>
      </w:pPr>
      <w:r>
        <w:rPr>
          <w:rFonts w:hint="eastAsia" w:ascii="宋体" w:hAnsi="宋体" w:cs="宋体"/>
          <w:szCs w:val="21"/>
        </w:rPr>
        <w:t>5.乙方被依法注销商事登记的（以市场监管行政部门的商事登记变动情况为准）；</w:t>
      </w:r>
    </w:p>
    <w:p w14:paraId="1C5E55B0">
      <w:pPr>
        <w:spacing w:line="500" w:lineRule="exact"/>
        <w:ind w:firstLine="420" w:firstLineChars="200"/>
        <w:rPr>
          <w:rFonts w:ascii="宋体" w:hAnsi="宋体" w:cs="宋体"/>
          <w:szCs w:val="21"/>
        </w:rPr>
      </w:pPr>
      <w:r>
        <w:rPr>
          <w:rFonts w:hint="eastAsia" w:ascii="宋体" w:hAnsi="宋体" w:cs="宋体"/>
          <w:szCs w:val="21"/>
        </w:rPr>
        <w:t>6.乙方未按要求把行政区域范围内的营运车辆数据信息接入甲方行业监管平台、且在甲方指定的期限内未按要求完成整改的；</w:t>
      </w:r>
    </w:p>
    <w:p w14:paraId="30693D20">
      <w:pPr>
        <w:spacing w:line="500" w:lineRule="exact"/>
        <w:ind w:firstLine="420" w:firstLineChars="200"/>
        <w:rPr>
          <w:rFonts w:ascii="宋体" w:hAnsi="宋体" w:cs="宋体"/>
          <w:szCs w:val="21"/>
        </w:rPr>
      </w:pPr>
      <w:r>
        <w:rPr>
          <w:rFonts w:hint="eastAsia" w:ascii="宋体" w:hAnsi="宋体" w:cs="宋体"/>
          <w:szCs w:val="21"/>
        </w:rPr>
        <w:t>7.乙方在行政区域范围内的营运车辆数量超过本次运营的投放及运营配额，且在甲方指定的期限内未按要求整改完毕的〔营运车辆数量以乙方运营 APP 或者微信、支付宝等第三方平台合作小程序上显示的运营车辆数量（包括正常运营状态、故障车状态）为认定标准〕；</w:t>
      </w:r>
    </w:p>
    <w:p w14:paraId="5DF914B5">
      <w:pPr>
        <w:spacing w:line="500" w:lineRule="exact"/>
        <w:ind w:firstLine="420" w:firstLineChars="200"/>
        <w:rPr>
          <w:rFonts w:ascii="宋体" w:hAnsi="宋体" w:cs="宋体"/>
          <w:szCs w:val="21"/>
        </w:rPr>
      </w:pPr>
      <w:r>
        <w:rPr>
          <w:rFonts w:hint="eastAsia" w:ascii="宋体" w:hAnsi="宋体" w:cs="宋体"/>
          <w:szCs w:val="21"/>
        </w:rPr>
        <w:t>8.没有完全遵守或履行要求的事项，或未在规定时间内将运营相应数量的车辆投入运营的；</w:t>
      </w:r>
    </w:p>
    <w:p w14:paraId="054509E2">
      <w:pPr>
        <w:spacing w:line="500" w:lineRule="exact"/>
        <w:ind w:firstLine="420" w:firstLineChars="200"/>
        <w:rPr>
          <w:rFonts w:ascii="宋体" w:hAnsi="宋体" w:cs="宋体"/>
          <w:szCs w:val="21"/>
        </w:rPr>
      </w:pPr>
      <w:r>
        <w:rPr>
          <w:rFonts w:hint="eastAsia" w:ascii="宋体" w:hAnsi="宋体" w:cs="宋体"/>
          <w:szCs w:val="21"/>
        </w:rPr>
        <w:t>9.其他违反本协议约定的严重情形。</w:t>
      </w:r>
    </w:p>
    <w:p w14:paraId="5B49E0DC">
      <w:pPr>
        <w:spacing w:line="500" w:lineRule="exact"/>
        <w:ind w:firstLine="420" w:firstLineChars="200"/>
        <w:rPr>
          <w:rFonts w:ascii="宋体" w:hAnsi="宋体" w:cs="宋体"/>
          <w:szCs w:val="21"/>
        </w:rPr>
      </w:pPr>
      <w:r>
        <w:rPr>
          <w:rFonts w:hint="eastAsia" w:ascii="宋体" w:hAnsi="宋体" w:cs="宋体"/>
          <w:szCs w:val="21"/>
        </w:rPr>
        <w:t>（四）相关管理部门在巡查、抽检中发现违规车辆（包括数据未接入行业监管平台的车辆；已接入行业监管平台但运营状态为已报废的车辆等），可立即对违规车辆采取清理、挪移、集中代管，并要求乙方限期提供合理有效的情况说明、证明材料，逾期未提供的，视为乙方放弃其车辆所有权，甲方及其受委托人和车辆所在地的相关管理部门可对其采取清理、挪移、集中代管、报废、变卖等任何处置措施。</w:t>
      </w:r>
    </w:p>
    <w:p w14:paraId="45D295BA">
      <w:pPr>
        <w:spacing w:line="500" w:lineRule="exact"/>
        <w:ind w:firstLine="420" w:firstLineChars="200"/>
        <w:rPr>
          <w:rFonts w:ascii="宋体" w:hAnsi="宋体" w:cs="宋体"/>
          <w:szCs w:val="21"/>
        </w:rPr>
      </w:pPr>
      <w:r>
        <w:rPr>
          <w:rFonts w:hint="eastAsia" w:ascii="宋体" w:hAnsi="宋体" w:cs="宋体"/>
          <w:szCs w:val="21"/>
        </w:rPr>
        <w:t>（五）乙方未按照本协议约定履约包括但不限于未按约定购买和赔付人身意外伤害险及第三责任险、配备相应的运维人员、支付场地使用费、支付履约保证金、乱收费、严重影响学校安全稳定、严重损害学校声誉等，且在甲方制定的期限内未按要求完成整改的，甲方有权收回乙方在我校校园共享单车的运营权。</w:t>
      </w:r>
    </w:p>
    <w:p w14:paraId="6F836705">
      <w:pPr>
        <w:spacing w:line="500" w:lineRule="exact"/>
        <w:ind w:firstLine="420" w:firstLineChars="200"/>
        <w:rPr>
          <w:rFonts w:ascii="宋体" w:hAnsi="宋体" w:cs="宋体"/>
          <w:szCs w:val="21"/>
        </w:rPr>
      </w:pPr>
      <w:r>
        <w:rPr>
          <w:rFonts w:hint="eastAsia" w:ascii="宋体" w:hAnsi="宋体" w:cs="宋体"/>
          <w:szCs w:val="21"/>
        </w:rPr>
        <w:t>（六）乙方未按照本协议第五条第四款关于车辆投放、停放、调度等方面的约定和要求做好营运服务管理的，甲方及其受委托人和车辆所在地的相关管理部门可对其采取清理、挪移、集中代管、报废、变卖等任何处置措施，相关费用由乙方承担。乙方未在甲方指定的期间内处理的，乙方放弃已被挪移、集中代管的车辆所有权，甲方及其受委托人和车辆所在地的相关管理部门可对其采取报废、变卖等任何处置措施。</w:t>
      </w:r>
    </w:p>
    <w:p w14:paraId="0AC05F71">
      <w:pPr>
        <w:spacing w:line="500" w:lineRule="exact"/>
        <w:ind w:firstLine="420" w:firstLineChars="200"/>
        <w:rPr>
          <w:rFonts w:ascii="宋体" w:hAnsi="宋体" w:cs="宋体"/>
          <w:szCs w:val="21"/>
        </w:rPr>
      </w:pPr>
      <w:r>
        <w:rPr>
          <w:rFonts w:hint="eastAsia" w:ascii="宋体" w:hAnsi="宋体" w:cs="宋体"/>
          <w:szCs w:val="21"/>
        </w:rPr>
        <w:t>（七）乙方在道路、广场等公共场所上停放的残旧破损、不能正常使用的车辆（包括但不限于以下情形：①座椅、轮胎、脚蹬、把手、车锁等主要部件缺失或者损坏的；②车辆外观污损的；③因车辆配件缺失、企业系统平台等原因导致车辆无法正常开锁骑行的），在甲方及其受委托人和车辆所在地的相关管理部门指定的期限内未完成清理的，乙方放弃其车辆所有权，甲方及其受委托人和车辆所在地的相关管理部门可对其采取清理、挪移、集中代管、报废、变卖等任何处置措施。</w:t>
      </w:r>
    </w:p>
    <w:p w14:paraId="12A25647">
      <w:pPr>
        <w:spacing w:line="500" w:lineRule="exact"/>
        <w:ind w:firstLine="420" w:firstLineChars="200"/>
        <w:rPr>
          <w:rFonts w:ascii="宋体" w:hAnsi="宋体" w:cs="宋体"/>
          <w:szCs w:val="21"/>
        </w:rPr>
      </w:pPr>
      <w:r>
        <w:rPr>
          <w:rFonts w:hint="eastAsia" w:ascii="宋体" w:hAnsi="宋体" w:cs="宋体"/>
          <w:szCs w:val="21"/>
        </w:rPr>
        <w:t>（八）乙方如果出现无法联系有效运维力量进行现场管理的情况超过 30 天，或 APP 客户端或第三方平台客户端出现无法解锁车辆使用的情况连续超过 30 天的，乙方放弃本次运营范围内全部车辆的所有权，甲方及其受委托人和车辆所在地的相关管理部门可对其采取清理、挪移、集中代管、报废、变卖等任何处置措施。</w:t>
      </w:r>
    </w:p>
    <w:p w14:paraId="03A0C3DB">
      <w:pPr>
        <w:spacing w:line="500" w:lineRule="exact"/>
        <w:ind w:firstLine="420" w:firstLineChars="200"/>
        <w:rPr>
          <w:rFonts w:ascii="宋体" w:hAnsi="宋体" w:cs="宋体"/>
          <w:szCs w:val="21"/>
        </w:rPr>
      </w:pPr>
      <w:r>
        <w:rPr>
          <w:rFonts w:hint="eastAsia" w:ascii="宋体" w:hAnsi="宋体" w:cs="宋体"/>
          <w:szCs w:val="21"/>
        </w:rPr>
        <w:t>第九条 甲方收回共享单车投放及运营配额，乙方因此产生的所有损失，由乙方自行承担。对被收回的共享单车投放及运营配额，甲方有权另行处置。</w:t>
      </w:r>
    </w:p>
    <w:p w14:paraId="4D100F51">
      <w:pPr>
        <w:spacing w:line="500" w:lineRule="exact"/>
        <w:ind w:firstLine="420" w:firstLineChars="200"/>
        <w:rPr>
          <w:rFonts w:ascii="宋体" w:hAnsi="宋体" w:cs="宋体"/>
          <w:szCs w:val="21"/>
        </w:rPr>
      </w:pPr>
      <w:r>
        <w:rPr>
          <w:rFonts w:hint="eastAsia" w:ascii="宋体" w:hAnsi="宋体" w:cs="宋体"/>
          <w:szCs w:val="21"/>
        </w:rPr>
        <w:t>第十条 有下列情形之一的，本协议自动终止，同时乙方应当按照协议约定收回或清理已投放的全部车辆。如乙方不回收或清理的，按照本协议第十二条处理。</w:t>
      </w:r>
    </w:p>
    <w:p w14:paraId="4B556408">
      <w:pPr>
        <w:spacing w:line="500" w:lineRule="exact"/>
        <w:ind w:firstLine="420" w:firstLineChars="200"/>
        <w:rPr>
          <w:rFonts w:ascii="宋体" w:hAnsi="宋体" w:cs="宋体"/>
          <w:szCs w:val="21"/>
        </w:rPr>
      </w:pPr>
      <w:r>
        <w:rPr>
          <w:rFonts w:hint="eastAsia" w:ascii="宋体" w:hAnsi="宋体" w:cs="宋体"/>
          <w:szCs w:val="21"/>
        </w:rPr>
        <w:t>（一） 乙方停业、歇业的；</w:t>
      </w:r>
    </w:p>
    <w:p w14:paraId="6873498F">
      <w:pPr>
        <w:spacing w:line="500" w:lineRule="exact"/>
        <w:ind w:firstLine="420" w:firstLineChars="200"/>
        <w:rPr>
          <w:rFonts w:ascii="宋体" w:hAnsi="宋体" w:cs="宋体"/>
          <w:szCs w:val="21"/>
        </w:rPr>
      </w:pPr>
      <w:r>
        <w:rPr>
          <w:rFonts w:hint="eastAsia" w:ascii="宋体" w:hAnsi="宋体" w:cs="宋体"/>
          <w:szCs w:val="21"/>
        </w:rPr>
        <w:t>（二） 政府相关部门依法吊销、撤销、撤回或注销乙方的相关行政许可的。</w:t>
      </w:r>
    </w:p>
    <w:p w14:paraId="1830CA66">
      <w:pPr>
        <w:spacing w:line="500" w:lineRule="exact"/>
        <w:ind w:firstLine="420" w:firstLineChars="200"/>
        <w:rPr>
          <w:rFonts w:ascii="宋体" w:hAnsi="宋体" w:cs="宋体"/>
          <w:szCs w:val="21"/>
        </w:rPr>
      </w:pPr>
      <w:r>
        <w:rPr>
          <w:rFonts w:hint="eastAsia" w:ascii="宋体" w:hAnsi="宋体" w:cs="宋体"/>
          <w:szCs w:val="21"/>
        </w:rPr>
        <w:t>第十一条 本次乙方所使用的共享单车投放及运营配额经营期限届满时，甲方收回投放及运营配额。</w:t>
      </w:r>
    </w:p>
    <w:p w14:paraId="70A9B2DA">
      <w:pPr>
        <w:spacing w:line="500" w:lineRule="exact"/>
        <w:ind w:firstLine="420" w:firstLineChars="200"/>
        <w:rPr>
          <w:rFonts w:ascii="宋体" w:hAnsi="宋体" w:cs="宋体"/>
          <w:szCs w:val="21"/>
        </w:rPr>
      </w:pPr>
      <w:r>
        <w:rPr>
          <w:rFonts w:hint="eastAsia" w:ascii="宋体" w:hAnsi="宋体" w:cs="宋体"/>
          <w:szCs w:val="21"/>
        </w:rPr>
        <w:t>第十二条 出现下列情形的，甲方有权解除本协议：</w:t>
      </w:r>
    </w:p>
    <w:p w14:paraId="5F210F57">
      <w:pPr>
        <w:spacing w:line="500" w:lineRule="exact"/>
        <w:ind w:firstLine="420" w:firstLineChars="200"/>
        <w:rPr>
          <w:rFonts w:ascii="宋体" w:hAnsi="宋体" w:cs="宋体"/>
          <w:szCs w:val="21"/>
        </w:rPr>
      </w:pPr>
      <w:r>
        <w:rPr>
          <w:rFonts w:hint="eastAsia" w:ascii="宋体" w:hAnsi="宋体" w:cs="宋体"/>
          <w:szCs w:val="21"/>
        </w:rPr>
        <w:t>（一）乙方违反本协议第五条第（一）款的约定将注册地址迁出本市行政区域；乙方存在第八条第（三）款情况。</w:t>
      </w:r>
    </w:p>
    <w:p w14:paraId="44D694F1">
      <w:pPr>
        <w:spacing w:line="500" w:lineRule="exact"/>
        <w:ind w:firstLine="420" w:firstLineChars="200"/>
        <w:rPr>
          <w:rFonts w:ascii="宋体" w:hAnsi="宋体" w:cs="宋体"/>
          <w:szCs w:val="21"/>
        </w:rPr>
      </w:pPr>
      <w:r>
        <w:rPr>
          <w:rFonts w:hint="eastAsia" w:ascii="宋体" w:hAnsi="宋体" w:cs="宋体"/>
          <w:szCs w:val="21"/>
        </w:rPr>
        <w:t>（二）乙方违反本协议有关规定，导致其所获得的投放及运营配额被甲方全部收回。</w:t>
      </w:r>
    </w:p>
    <w:p w14:paraId="2509AF11">
      <w:pPr>
        <w:spacing w:line="500" w:lineRule="exact"/>
        <w:ind w:firstLine="420" w:firstLineChars="200"/>
        <w:rPr>
          <w:rFonts w:ascii="宋体" w:hAnsi="宋体" w:cs="宋体"/>
          <w:szCs w:val="21"/>
        </w:rPr>
      </w:pPr>
      <w:r>
        <w:rPr>
          <w:rFonts w:hint="eastAsia" w:ascii="宋体" w:hAnsi="宋体" w:cs="宋体"/>
          <w:szCs w:val="21"/>
        </w:rPr>
        <w:t>发生不可抗力导致本协议的履行成为不必要或者不可能的，甲乙双方均可解除本协议。不受本级政府控制的法律、法规、规章和规范性文件的变动，视为不可抗力。</w:t>
      </w:r>
    </w:p>
    <w:p w14:paraId="68C52098">
      <w:pPr>
        <w:spacing w:line="500" w:lineRule="exact"/>
        <w:ind w:firstLine="420" w:firstLineChars="200"/>
        <w:rPr>
          <w:rFonts w:ascii="宋体" w:hAnsi="宋体" w:cs="宋体"/>
          <w:szCs w:val="21"/>
        </w:rPr>
      </w:pPr>
      <w:r>
        <w:rPr>
          <w:rFonts w:hint="eastAsia" w:ascii="宋体" w:hAnsi="宋体" w:cs="宋体"/>
          <w:szCs w:val="21"/>
        </w:rPr>
        <w:t>除本协议另有约定外，无论任何原因导致的协议解除或终止，乙方均应在一个月内全部收回或清理已投放的全部车辆。逾期不清理或回收的，乙方放弃其车辆所有权，甲方及其受委托人和车辆所在地的相关管理部门可对其采取清理、挪移、集中代管、报废、变卖等任何处置措施。</w:t>
      </w:r>
    </w:p>
    <w:p w14:paraId="3CCA8CFF">
      <w:pPr>
        <w:spacing w:line="500" w:lineRule="exact"/>
        <w:ind w:firstLine="420" w:firstLineChars="200"/>
        <w:rPr>
          <w:rFonts w:ascii="宋体" w:hAnsi="宋体" w:cs="宋体"/>
          <w:szCs w:val="21"/>
        </w:rPr>
      </w:pPr>
      <w:r>
        <w:rPr>
          <w:rFonts w:hint="eastAsia" w:ascii="宋体" w:hAnsi="宋体" w:cs="宋体"/>
          <w:szCs w:val="21"/>
        </w:rPr>
        <w:t>第十三条 甲乙双方因履行本协议而发生的争议，应协商、调解解决。协商、调解不成的，可向甲方所在地人民法院提起诉讼。包括但不限于案件受理费、调查取证、鉴定费、差旅费、律师费等由败诉方承担。</w:t>
      </w:r>
    </w:p>
    <w:p w14:paraId="64BA1146">
      <w:pPr>
        <w:spacing w:line="560" w:lineRule="exact"/>
        <w:ind w:firstLine="420" w:firstLineChars="200"/>
        <w:rPr>
          <w:rFonts w:ascii="宋体" w:hAnsi="宋体" w:cs="宋体"/>
          <w:szCs w:val="21"/>
          <w:lang w:val="zh-CN"/>
        </w:rPr>
      </w:pPr>
      <w:r>
        <w:rPr>
          <w:rFonts w:hint="eastAsia" w:ascii="宋体" w:hAnsi="宋体" w:cs="宋体"/>
          <w:szCs w:val="21"/>
        </w:rPr>
        <w:t xml:space="preserve">第十四条 </w:t>
      </w:r>
      <w:r>
        <w:rPr>
          <w:rFonts w:hint="eastAsia" w:ascii="宋体" w:hAnsi="宋体" w:cs="宋体"/>
          <w:szCs w:val="21"/>
          <w:lang w:val="zh-CN"/>
        </w:rPr>
        <w:t>场地使用费和履约保证金</w:t>
      </w:r>
      <w:r>
        <w:rPr>
          <w:rFonts w:hint="eastAsia" w:ascii="宋体" w:hAnsi="宋体" w:cs="宋体"/>
          <w:szCs w:val="21"/>
        </w:rPr>
        <w:t>。</w:t>
      </w:r>
      <w:r>
        <w:rPr>
          <w:rFonts w:hint="eastAsia" w:ascii="宋体" w:hAnsi="宋体" w:cs="宋体"/>
          <w:szCs w:val="21"/>
          <w:lang w:val="zh-CN"/>
        </w:rPr>
        <w:t>供应商成交后在签订合同前，须根据供应商磋商报价向甲方支付场地使用费，转至采购人指定账户。</w:t>
      </w:r>
    </w:p>
    <w:p w14:paraId="4D10DBD1">
      <w:pPr>
        <w:spacing w:line="560" w:lineRule="exact"/>
        <w:ind w:firstLine="420" w:firstLineChars="200"/>
        <w:rPr>
          <w:rFonts w:ascii="宋体" w:hAnsi="宋体" w:cs="宋体"/>
          <w:szCs w:val="21"/>
          <w:lang w:val="zh-CN"/>
        </w:rPr>
      </w:pPr>
      <w:r>
        <w:rPr>
          <w:rFonts w:hint="eastAsia" w:ascii="宋体" w:hAnsi="宋体" w:cs="宋体"/>
          <w:szCs w:val="21"/>
          <w:lang w:val="zh-CN"/>
        </w:rPr>
        <w:t>供应商成交后在签订合同前，须向采购人支付履约保证金2万元，转至采购人指定账户。服务期满，供应商提出申请后甲方在</w:t>
      </w:r>
      <w:r>
        <w:rPr>
          <w:rFonts w:hint="eastAsia" w:ascii="宋体" w:hAnsi="宋体" w:cs="宋体"/>
          <w:szCs w:val="21"/>
        </w:rPr>
        <w:t>5</w:t>
      </w:r>
      <w:r>
        <w:rPr>
          <w:rFonts w:hint="eastAsia" w:ascii="宋体" w:hAnsi="宋体" w:cs="宋体"/>
          <w:szCs w:val="21"/>
          <w:lang w:val="zh-CN"/>
        </w:rPr>
        <w:t>个工作日内办理履约保证金退还手续无息退还供应商。当履约保证金因各种原因被扣减低于2万时，供应商在收到采购人通知后须在10个工作内补足。</w:t>
      </w:r>
    </w:p>
    <w:p w14:paraId="64E53247">
      <w:pPr>
        <w:spacing w:line="500" w:lineRule="exact"/>
        <w:ind w:firstLine="420" w:firstLineChars="200"/>
        <w:rPr>
          <w:rFonts w:ascii="宋体" w:hAnsi="宋体" w:cs="宋体"/>
          <w:szCs w:val="21"/>
        </w:rPr>
      </w:pPr>
      <w:r>
        <w:rPr>
          <w:rFonts w:hint="eastAsia" w:ascii="宋体" w:hAnsi="宋体" w:cs="宋体"/>
          <w:szCs w:val="21"/>
        </w:rPr>
        <w:t>第十五条 下列文件视为本协议的组成部分：</w:t>
      </w:r>
    </w:p>
    <w:p w14:paraId="42CCAC03">
      <w:pPr>
        <w:spacing w:line="500" w:lineRule="exact"/>
        <w:ind w:firstLine="420" w:firstLineChars="200"/>
        <w:rPr>
          <w:rFonts w:ascii="宋体" w:hAnsi="宋体" w:cs="宋体"/>
          <w:szCs w:val="21"/>
        </w:rPr>
      </w:pPr>
      <w:r>
        <w:rPr>
          <w:rFonts w:hint="eastAsia" w:ascii="宋体" w:hAnsi="宋体" w:cs="宋体"/>
          <w:szCs w:val="21"/>
        </w:rPr>
        <w:t>（一） 补充协议；</w:t>
      </w:r>
    </w:p>
    <w:p w14:paraId="56EBAC8A">
      <w:pPr>
        <w:spacing w:line="500" w:lineRule="exact"/>
        <w:ind w:firstLine="420" w:firstLineChars="200"/>
        <w:rPr>
          <w:rFonts w:ascii="宋体" w:hAnsi="宋体" w:cs="宋体"/>
          <w:szCs w:val="21"/>
        </w:rPr>
      </w:pPr>
      <w:r>
        <w:rPr>
          <w:rFonts w:hint="eastAsia" w:ascii="宋体" w:hAnsi="宋体" w:cs="宋体"/>
          <w:szCs w:val="21"/>
        </w:rPr>
        <w:t>（二） 企业运营管理方案；</w:t>
      </w:r>
    </w:p>
    <w:p w14:paraId="1DEBAA87">
      <w:pPr>
        <w:spacing w:line="500" w:lineRule="exact"/>
        <w:ind w:firstLine="420" w:firstLineChars="200"/>
        <w:rPr>
          <w:rFonts w:ascii="宋体" w:hAnsi="宋体" w:cs="宋体"/>
          <w:szCs w:val="21"/>
        </w:rPr>
      </w:pPr>
      <w:r>
        <w:rPr>
          <w:rFonts w:hint="eastAsia" w:ascii="宋体" w:hAnsi="宋体" w:cs="宋体"/>
          <w:szCs w:val="21"/>
        </w:rPr>
        <w:t>（三）构成本协议组成部分的其他文件。</w:t>
      </w:r>
    </w:p>
    <w:p w14:paraId="6BC4178E">
      <w:pPr>
        <w:spacing w:line="500" w:lineRule="exact"/>
        <w:ind w:firstLine="420" w:firstLineChars="200"/>
        <w:rPr>
          <w:rFonts w:ascii="宋体" w:hAnsi="宋体" w:cs="宋体"/>
          <w:szCs w:val="21"/>
        </w:rPr>
      </w:pPr>
      <w:r>
        <w:rPr>
          <w:rFonts w:hint="eastAsia" w:ascii="宋体" w:hAnsi="宋体" w:cs="宋体"/>
          <w:szCs w:val="21"/>
        </w:rPr>
        <w:t>以上文件相互补充，如有不一致，以签署或生效时间在后者为准。</w:t>
      </w:r>
    </w:p>
    <w:p w14:paraId="19F8D281">
      <w:pPr>
        <w:spacing w:line="500" w:lineRule="exact"/>
        <w:ind w:firstLine="420" w:firstLineChars="200"/>
        <w:rPr>
          <w:rFonts w:ascii="宋体" w:hAnsi="宋体" w:cs="宋体"/>
          <w:szCs w:val="21"/>
        </w:rPr>
      </w:pPr>
      <w:r>
        <w:rPr>
          <w:rFonts w:hint="eastAsia" w:ascii="宋体" w:hAnsi="宋体" w:cs="宋体"/>
          <w:szCs w:val="21"/>
        </w:rPr>
        <w:t>第十六条 本协议书自各方法定代表人（负责人）或委托代表签字并加盖单位公章之日起生效，有效期至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日止。本协议一式陆份,双方各执叁份。</w:t>
      </w:r>
    </w:p>
    <w:p w14:paraId="01AF77FB">
      <w:pPr>
        <w:spacing w:line="500" w:lineRule="exact"/>
        <w:ind w:firstLine="422" w:firstLineChars="200"/>
        <w:rPr>
          <w:rFonts w:ascii="宋体" w:hAnsi="宋体" w:cs="宋体"/>
          <w:b/>
          <w:szCs w:val="21"/>
        </w:rPr>
      </w:pPr>
    </w:p>
    <w:p w14:paraId="18EC8968">
      <w:pPr>
        <w:spacing w:line="500" w:lineRule="exact"/>
        <w:ind w:firstLine="422" w:firstLineChars="200"/>
        <w:rPr>
          <w:rFonts w:ascii="宋体" w:hAnsi="宋体" w:cs="宋体"/>
          <w:b/>
          <w:szCs w:val="21"/>
        </w:rPr>
      </w:pPr>
    </w:p>
    <w:p w14:paraId="2411A3AB">
      <w:pPr>
        <w:spacing w:line="500" w:lineRule="exact"/>
        <w:ind w:firstLine="422" w:firstLineChars="200"/>
        <w:rPr>
          <w:rFonts w:ascii="宋体" w:hAnsi="宋体" w:cs="宋体"/>
          <w:b/>
          <w:szCs w:val="21"/>
        </w:rPr>
      </w:pP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6"/>
        <w:gridCol w:w="4266"/>
      </w:tblGrid>
      <w:tr w14:paraId="09A21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8"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7F097CF7">
            <w:pPr>
              <w:spacing w:line="500" w:lineRule="exact"/>
              <w:rPr>
                <w:rFonts w:ascii="宋体" w:hAnsi="宋体" w:cs="宋体"/>
                <w:szCs w:val="21"/>
              </w:rPr>
            </w:pPr>
            <w:r>
              <w:rPr>
                <w:rFonts w:hint="eastAsia" w:ascii="宋体" w:hAnsi="宋体" w:cs="宋体"/>
                <w:szCs w:val="21"/>
              </w:rPr>
              <w:t xml:space="preserve">甲方（章） 南宁师范大学          </w:t>
            </w:r>
          </w:p>
          <w:p w14:paraId="49B0A971">
            <w:pPr>
              <w:spacing w:line="500" w:lineRule="exact"/>
              <w:rPr>
                <w:rFonts w:ascii="宋体" w:hAnsi="宋体" w:cs="宋体"/>
                <w:szCs w:val="21"/>
              </w:rPr>
            </w:pPr>
          </w:p>
          <w:p w14:paraId="29EB271C">
            <w:pPr>
              <w:spacing w:line="500" w:lineRule="exact"/>
              <w:ind w:firstLine="945" w:firstLineChars="450"/>
              <w:jc w:val="right"/>
              <w:rPr>
                <w:rFonts w:ascii="宋体" w:hAnsi="宋体" w:cs="宋体"/>
                <w:szCs w:val="21"/>
              </w:rPr>
            </w:pPr>
            <w:r>
              <w:rPr>
                <w:rFonts w:hint="eastAsia" w:ascii="宋体" w:hAnsi="宋体" w:cs="宋体"/>
                <w:szCs w:val="21"/>
              </w:rPr>
              <w:t>年   月   日</w:t>
            </w:r>
          </w:p>
        </w:tc>
        <w:tc>
          <w:tcPr>
            <w:tcW w:w="4266" w:type="dxa"/>
            <w:tcBorders>
              <w:top w:val="single" w:color="auto" w:sz="4" w:space="0"/>
              <w:left w:val="single" w:color="auto" w:sz="4" w:space="0"/>
              <w:bottom w:val="single" w:color="auto" w:sz="4" w:space="0"/>
              <w:right w:val="single" w:color="auto" w:sz="4" w:space="0"/>
            </w:tcBorders>
            <w:vAlign w:val="center"/>
          </w:tcPr>
          <w:p w14:paraId="6E83FF1F">
            <w:pPr>
              <w:spacing w:line="500" w:lineRule="exact"/>
              <w:rPr>
                <w:rFonts w:ascii="宋体" w:hAnsi="宋体" w:cs="宋体"/>
                <w:szCs w:val="21"/>
              </w:rPr>
            </w:pPr>
            <w:r>
              <w:rPr>
                <w:rFonts w:hint="eastAsia" w:ascii="宋体" w:hAnsi="宋体" w:cs="宋体"/>
                <w:szCs w:val="21"/>
              </w:rPr>
              <w:t xml:space="preserve">乙方（章）              </w:t>
            </w:r>
          </w:p>
          <w:p w14:paraId="07141C28">
            <w:pPr>
              <w:spacing w:line="500" w:lineRule="exact"/>
              <w:rPr>
                <w:rFonts w:ascii="宋体" w:hAnsi="宋体" w:cs="宋体"/>
                <w:szCs w:val="21"/>
              </w:rPr>
            </w:pPr>
          </w:p>
          <w:p w14:paraId="2D0A1A24">
            <w:pPr>
              <w:spacing w:line="500" w:lineRule="exact"/>
              <w:jc w:val="right"/>
              <w:rPr>
                <w:rFonts w:ascii="宋体" w:hAnsi="宋体" w:cs="宋体"/>
                <w:szCs w:val="21"/>
              </w:rPr>
            </w:pPr>
            <w:r>
              <w:rPr>
                <w:rFonts w:hint="eastAsia" w:ascii="宋体" w:hAnsi="宋体" w:cs="宋体"/>
                <w:szCs w:val="21"/>
              </w:rPr>
              <w:t xml:space="preserve"> 年   月   日</w:t>
            </w:r>
          </w:p>
        </w:tc>
      </w:tr>
      <w:tr w14:paraId="2571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6"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7AD609BF">
            <w:pPr>
              <w:spacing w:line="500" w:lineRule="exact"/>
              <w:rPr>
                <w:rFonts w:ascii="宋体" w:hAnsi="宋体" w:cs="宋体"/>
                <w:szCs w:val="21"/>
              </w:rPr>
            </w:pPr>
            <w:r>
              <w:rPr>
                <w:rFonts w:hint="eastAsia" w:ascii="宋体" w:hAnsi="宋体" w:cs="宋体"/>
                <w:szCs w:val="21"/>
              </w:rPr>
              <w:t>单位地址：广西壮族自治区南宁市明秀东路175号</w:t>
            </w:r>
          </w:p>
        </w:tc>
        <w:tc>
          <w:tcPr>
            <w:tcW w:w="4266" w:type="dxa"/>
            <w:tcBorders>
              <w:top w:val="single" w:color="auto" w:sz="4" w:space="0"/>
              <w:left w:val="single" w:color="auto" w:sz="4" w:space="0"/>
              <w:bottom w:val="single" w:color="auto" w:sz="4" w:space="0"/>
              <w:right w:val="single" w:color="auto" w:sz="4" w:space="0"/>
            </w:tcBorders>
            <w:vAlign w:val="center"/>
          </w:tcPr>
          <w:p w14:paraId="688982D0">
            <w:pPr>
              <w:spacing w:line="500" w:lineRule="exact"/>
              <w:rPr>
                <w:rFonts w:ascii="宋体" w:hAnsi="宋体" w:cs="宋体"/>
                <w:szCs w:val="21"/>
              </w:rPr>
            </w:pPr>
            <w:r>
              <w:rPr>
                <w:rFonts w:hint="eastAsia" w:ascii="宋体" w:hAnsi="宋体" w:cs="宋体"/>
                <w:szCs w:val="21"/>
              </w:rPr>
              <w:t>单位地址：</w:t>
            </w:r>
          </w:p>
        </w:tc>
      </w:tr>
      <w:tr w14:paraId="476A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2"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35B690B0">
            <w:pPr>
              <w:spacing w:line="500" w:lineRule="exact"/>
              <w:rPr>
                <w:rFonts w:ascii="宋体" w:hAnsi="宋体" w:cs="宋体"/>
                <w:szCs w:val="21"/>
              </w:rPr>
            </w:pPr>
            <w:r>
              <w:rPr>
                <w:rFonts w:hint="eastAsia" w:ascii="宋体" w:hAnsi="宋体" w:cs="宋体"/>
                <w:szCs w:val="21"/>
              </w:rPr>
              <w:t>法定代表人或委托代理人：</w:t>
            </w:r>
          </w:p>
        </w:tc>
        <w:tc>
          <w:tcPr>
            <w:tcW w:w="4266" w:type="dxa"/>
            <w:tcBorders>
              <w:top w:val="single" w:color="auto" w:sz="4" w:space="0"/>
              <w:left w:val="single" w:color="auto" w:sz="4" w:space="0"/>
              <w:bottom w:val="single" w:color="auto" w:sz="4" w:space="0"/>
              <w:right w:val="single" w:color="auto" w:sz="4" w:space="0"/>
            </w:tcBorders>
            <w:vAlign w:val="center"/>
          </w:tcPr>
          <w:p w14:paraId="1E76A5D0">
            <w:pPr>
              <w:spacing w:line="500" w:lineRule="exact"/>
              <w:rPr>
                <w:rFonts w:ascii="宋体" w:hAnsi="宋体" w:cs="宋体"/>
                <w:szCs w:val="21"/>
              </w:rPr>
            </w:pPr>
            <w:r>
              <w:rPr>
                <w:rFonts w:hint="eastAsia" w:ascii="宋体" w:hAnsi="宋体" w:cs="宋体"/>
                <w:szCs w:val="21"/>
              </w:rPr>
              <w:t>法定代表人或委托代理人：</w:t>
            </w:r>
          </w:p>
        </w:tc>
      </w:tr>
      <w:tr w14:paraId="0582F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3"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4FDCAD3C">
            <w:pPr>
              <w:spacing w:line="500" w:lineRule="exact"/>
              <w:rPr>
                <w:rFonts w:ascii="宋体" w:hAnsi="宋体" w:cs="宋体"/>
                <w:szCs w:val="21"/>
              </w:rPr>
            </w:pPr>
            <w:r>
              <w:rPr>
                <w:rFonts w:hint="eastAsia" w:ascii="宋体" w:hAnsi="宋体" w:cs="宋体"/>
                <w:szCs w:val="21"/>
              </w:rPr>
              <w:t>电话：</w:t>
            </w:r>
          </w:p>
        </w:tc>
        <w:tc>
          <w:tcPr>
            <w:tcW w:w="4266" w:type="dxa"/>
            <w:tcBorders>
              <w:top w:val="single" w:color="auto" w:sz="4" w:space="0"/>
              <w:left w:val="single" w:color="auto" w:sz="4" w:space="0"/>
              <w:bottom w:val="single" w:color="auto" w:sz="4" w:space="0"/>
              <w:right w:val="single" w:color="auto" w:sz="4" w:space="0"/>
            </w:tcBorders>
            <w:vAlign w:val="center"/>
          </w:tcPr>
          <w:p w14:paraId="54B1CAAA">
            <w:pPr>
              <w:spacing w:line="500" w:lineRule="exact"/>
              <w:rPr>
                <w:rFonts w:ascii="宋体" w:hAnsi="宋体" w:cs="宋体"/>
                <w:szCs w:val="21"/>
              </w:rPr>
            </w:pPr>
            <w:r>
              <w:rPr>
                <w:rFonts w:hint="eastAsia" w:ascii="宋体" w:hAnsi="宋体" w:cs="宋体"/>
                <w:szCs w:val="21"/>
              </w:rPr>
              <w:t>电话：</w:t>
            </w:r>
          </w:p>
        </w:tc>
      </w:tr>
      <w:tr w14:paraId="2A31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7AD84685">
            <w:pPr>
              <w:spacing w:line="500" w:lineRule="exact"/>
              <w:rPr>
                <w:rFonts w:ascii="宋体" w:hAnsi="宋体" w:cs="宋体"/>
                <w:szCs w:val="21"/>
              </w:rPr>
            </w:pPr>
            <w:r>
              <w:rPr>
                <w:rFonts w:hint="eastAsia" w:ascii="宋体" w:hAnsi="宋体" w:cs="宋体"/>
                <w:szCs w:val="21"/>
              </w:rPr>
              <w:t>电子邮箱：</w:t>
            </w:r>
          </w:p>
        </w:tc>
        <w:tc>
          <w:tcPr>
            <w:tcW w:w="4266" w:type="dxa"/>
            <w:tcBorders>
              <w:top w:val="single" w:color="auto" w:sz="4" w:space="0"/>
              <w:left w:val="single" w:color="auto" w:sz="4" w:space="0"/>
              <w:bottom w:val="single" w:color="auto" w:sz="4" w:space="0"/>
              <w:right w:val="single" w:color="auto" w:sz="4" w:space="0"/>
            </w:tcBorders>
            <w:vAlign w:val="center"/>
          </w:tcPr>
          <w:p w14:paraId="1A8AAEED">
            <w:pPr>
              <w:spacing w:line="500" w:lineRule="exact"/>
              <w:rPr>
                <w:rFonts w:ascii="宋体" w:hAnsi="宋体" w:cs="宋体"/>
                <w:szCs w:val="21"/>
              </w:rPr>
            </w:pPr>
            <w:r>
              <w:rPr>
                <w:rFonts w:hint="eastAsia" w:ascii="宋体" w:hAnsi="宋体" w:cs="宋体"/>
                <w:szCs w:val="21"/>
              </w:rPr>
              <w:t>电子邮箱：</w:t>
            </w:r>
          </w:p>
        </w:tc>
      </w:tr>
      <w:tr w14:paraId="60E09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6"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0625C917">
            <w:pPr>
              <w:spacing w:line="500" w:lineRule="exact"/>
              <w:rPr>
                <w:rFonts w:ascii="宋体" w:hAnsi="宋体" w:cs="宋体"/>
                <w:szCs w:val="21"/>
              </w:rPr>
            </w:pPr>
            <w:r>
              <w:rPr>
                <w:rFonts w:hint="eastAsia" w:ascii="宋体" w:hAnsi="宋体" w:cs="宋体"/>
                <w:szCs w:val="21"/>
              </w:rPr>
              <w:t>开户银行：</w:t>
            </w:r>
          </w:p>
        </w:tc>
        <w:tc>
          <w:tcPr>
            <w:tcW w:w="4266" w:type="dxa"/>
            <w:tcBorders>
              <w:top w:val="single" w:color="auto" w:sz="4" w:space="0"/>
              <w:left w:val="single" w:color="auto" w:sz="4" w:space="0"/>
              <w:bottom w:val="single" w:color="auto" w:sz="4" w:space="0"/>
              <w:right w:val="single" w:color="auto" w:sz="4" w:space="0"/>
            </w:tcBorders>
            <w:vAlign w:val="center"/>
          </w:tcPr>
          <w:p w14:paraId="6BCFE9E2">
            <w:pPr>
              <w:spacing w:line="500" w:lineRule="exact"/>
              <w:rPr>
                <w:rFonts w:ascii="宋体" w:hAnsi="宋体" w:cs="宋体"/>
                <w:szCs w:val="21"/>
              </w:rPr>
            </w:pPr>
            <w:r>
              <w:rPr>
                <w:rFonts w:hint="eastAsia" w:ascii="宋体" w:hAnsi="宋体" w:cs="宋体"/>
                <w:szCs w:val="21"/>
              </w:rPr>
              <w:t>开户银行：</w:t>
            </w:r>
          </w:p>
        </w:tc>
      </w:tr>
      <w:tr w14:paraId="04A09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1A85C700">
            <w:pPr>
              <w:spacing w:line="500" w:lineRule="exact"/>
              <w:rPr>
                <w:rFonts w:ascii="宋体" w:hAnsi="宋体" w:cs="宋体"/>
                <w:szCs w:val="21"/>
              </w:rPr>
            </w:pPr>
            <w:r>
              <w:rPr>
                <w:rFonts w:hint="eastAsia" w:ascii="宋体" w:hAnsi="宋体" w:cs="宋体"/>
                <w:szCs w:val="21"/>
              </w:rPr>
              <w:t>账号：</w:t>
            </w:r>
          </w:p>
        </w:tc>
        <w:tc>
          <w:tcPr>
            <w:tcW w:w="4266" w:type="dxa"/>
            <w:tcBorders>
              <w:top w:val="single" w:color="auto" w:sz="4" w:space="0"/>
              <w:left w:val="single" w:color="auto" w:sz="4" w:space="0"/>
              <w:bottom w:val="single" w:color="auto" w:sz="4" w:space="0"/>
              <w:right w:val="single" w:color="auto" w:sz="4" w:space="0"/>
            </w:tcBorders>
            <w:vAlign w:val="center"/>
          </w:tcPr>
          <w:p w14:paraId="7EEF0291">
            <w:pPr>
              <w:spacing w:line="500" w:lineRule="exact"/>
              <w:rPr>
                <w:rFonts w:ascii="宋体" w:hAnsi="宋体" w:cs="宋体"/>
                <w:szCs w:val="21"/>
              </w:rPr>
            </w:pPr>
            <w:r>
              <w:rPr>
                <w:rFonts w:hint="eastAsia" w:ascii="宋体" w:hAnsi="宋体" w:cs="宋体"/>
                <w:szCs w:val="21"/>
              </w:rPr>
              <w:t>账号：</w:t>
            </w:r>
          </w:p>
        </w:tc>
      </w:tr>
      <w:tr w14:paraId="207F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161B353F">
            <w:pPr>
              <w:spacing w:line="500" w:lineRule="exact"/>
              <w:rPr>
                <w:rFonts w:ascii="宋体" w:hAnsi="宋体" w:cs="宋体"/>
                <w:szCs w:val="21"/>
              </w:rPr>
            </w:pPr>
            <w:r>
              <w:rPr>
                <w:rFonts w:hint="eastAsia" w:ascii="宋体" w:hAnsi="宋体" w:cs="宋体"/>
                <w:szCs w:val="21"/>
              </w:rPr>
              <w:t>纳税人识别号或统一社会信用代码：</w:t>
            </w:r>
          </w:p>
          <w:p w14:paraId="3987450B">
            <w:pPr>
              <w:spacing w:line="500" w:lineRule="exact"/>
              <w:rPr>
                <w:rFonts w:ascii="宋体" w:hAnsi="宋体" w:cs="宋体"/>
                <w:szCs w:val="21"/>
              </w:rPr>
            </w:pPr>
          </w:p>
        </w:tc>
        <w:tc>
          <w:tcPr>
            <w:tcW w:w="4266" w:type="dxa"/>
            <w:tcBorders>
              <w:top w:val="single" w:color="auto" w:sz="4" w:space="0"/>
              <w:left w:val="single" w:color="auto" w:sz="4" w:space="0"/>
              <w:bottom w:val="single" w:color="auto" w:sz="4" w:space="0"/>
              <w:right w:val="single" w:color="auto" w:sz="4" w:space="0"/>
            </w:tcBorders>
            <w:vAlign w:val="center"/>
          </w:tcPr>
          <w:p w14:paraId="51825849">
            <w:pPr>
              <w:spacing w:line="500" w:lineRule="exact"/>
              <w:rPr>
                <w:rFonts w:ascii="宋体" w:hAnsi="宋体" w:cs="宋体"/>
                <w:szCs w:val="21"/>
              </w:rPr>
            </w:pPr>
            <w:r>
              <w:rPr>
                <w:rFonts w:hint="eastAsia" w:ascii="宋体" w:hAnsi="宋体" w:cs="宋体"/>
                <w:szCs w:val="21"/>
              </w:rPr>
              <w:t>纳税人识别号或统一社会信用代码：</w:t>
            </w:r>
          </w:p>
          <w:p w14:paraId="40F25C42">
            <w:pPr>
              <w:spacing w:line="500" w:lineRule="exact"/>
              <w:rPr>
                <w:rFonts w:ascii="宋体" w:hAnsi="宋体" w:cs="宋体"/>
                <w:szCs w:val="21"/>
              </w:rPr>
            </w:pPr>
          </w:p>
        </w:tc>
      </w:tr>
      <w:tr w14:paraId="74FD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5"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0F9CE555">
            <w:pPr>
              <w:spacing w:line="500" w:lineRule="exact"/>
              <w:rPr>
                <w:rFonts w:ascii="宋体" w:hAnsi="宋体" w:cs="宋体"/>
                <w:szCs w:val="21"/>
              </w:rPr>
            </w:pPr>
            <w:r>
              <w:rPr>
                <w:rFonts w:hint="eastAsia" w:ascii="宋体" w:hAnsi="宋体" w:cs="宋体"/>
                <w:szCs w:val="21"/>
              </w:rPr>
              <w:t>邮政编码：</w:t>
            </w:r>
          </w:p>
        </w:tc>
        <w:tc>
          <w:tcPr>
            <w:tcW w:w="4266" w:type="dxa"/>
            <w:tcBorders>
              <w:top w:val="single" w:color="auto" w:sz="4" w:space="0"/>
              <w:left w:val="single" w:color="auto" w:sz="4" w:space="0"/>
              <w:bottom w:val="single" w:color="auto" w:sz="4" w:space="0"/>
              <w:right w:val="single" w:color="auto" w:sz="4" w:space="0"/>
            </w:tcBorders>
            <w:vAlign w:val="center"/>
          </w:tcPr>
          <w:p w14:paraId="579A05A3">
            <w:pPr>
              <w:spacing w:line="500" w:lineRule="exact"/>
              <w:rPr>
                <w:rFonts w:ascii="宋体" w:hAnsi="宋体" w:cs="宋体"/>
                <w:szCs w:val="21"/>
              </w:rPr>
            </w:pPr>
            <w:r>
              <w:rPr>
                <w:rFonts w:hint="eastAsia" w:ascii="宋体" w:hAnsi="宋体" w:cs="宋体"/>
                <w:szCs w:val="21"/>
              </w:rPr>
              <w:t>邮政编码：</w:t>
            </w:r>
          </w:p>
        </w:tc>
      </w:tr>
    </w:tbl>
    <w:p w14:paraId="7E3CBC35">
      <w:pPr>
        <w:spacing w:before="4"/>
        <w:rPr>
          <w:rFonts w:ascii="宋体" w:hAnsi="宋体" w:cs="宋体"/>
          <w:sz w:val="6"/>
          <w:szCs w:val="6"/>
        </w:rPr>
      </w:pPr>
    </w:p>
    <w:sectPr>
      <w:footerReference r:id="rId18" w:type="first"/>
      <w:footerReference r:id="rId17" w:type="default"/>
      <w:pgSz w:w="11906" w:h="16838"/>
      <w:pgMar w:top="1435" w:right="1435" w:bottom="1435" w:left="1435"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rebuchet MS">
    <w:panose1 w:val="020B0603020202020204"/>
    <w:charset w:val="00"/>
    <w:family w:val="swiss"/>
    <w:pitch w:val="default"/>
    <w:sig w:usb0="00000287" w:usb1="00000003" w:usb2="00000000" w:usb3="00000000" w:csb0="2000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CFA44">
    <w:pPr>
      <w:pStyle w:val="34"/>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724C">
    <w:pPr>
      <w:pStyle w:val="34"/>
      <w:tabs>
        <w:tab w:val="clear" w:pos="4153"/>
        <w:tab w:val="clear" w:pos="8306"/>
      </w:tabs>
      <w:jc w:val="center"/>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50</w:t>
    </w:r>
    <w:r>
      <w:rPr>
        <w:sz w:val="28"/>
        <w:szCs w:val="28"/>
      </w:rPr>
      <w:fldChar w:fldCharType="end"/>
    </w:r>
    <w:r>
      <w:rPr>
        <w:rFonts w:hint="eastAsia"/>
        <w:sz w:val="28"/>
        <w:szCs w:val="28"/>
      </w:rPr>
      <w:t>—</w:t>
    </w:r>
  </w:p>
  <w:p w14:paraId="0295761D">
    <w:pPr>
      <w:pStyle w:val="3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9EDE">
    <w:pPr>
      <w:pStyle w:val="34"/>
      <w:framePr w:wrap="around" w:vAnchor="text" w:hAnchor="margin" w:xAlign="center" w:y="1"/>
      <w:tabs>
        <w:tab w:val="clear" w:pos="4153"/>
        <w:tab w:val="clear" w:pos="8306"/>
      </w:tabs>
    </w:pPr>
    <w:r>
      <w:fldChar w:fldCharType="begin"/>
    </w:r>
    <w:r>
      <w:rPr>
        <w:rStyle w:val="58"/>
      </w:rPr>
      <w:instrText xml:space="preserve">PAGE  </w:instrText>
    </w:r>
    <w:r>
      <w:fldChar w:fldCharType="end"/>
    </w:r>
  </w:p>
  <w:p w14:paraId="6E14EB10">
    <w:pPr>
      <w:pStyle w:val="34"/>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2B79">
    <w:pPr>
      <w:pStyle w:val="34"/>
      <w:tabs>
        <w:tab w:val="clear" w:pos="4153"/>
        <w:tab w:val="clear" w:pos="8306"/>
      </w:tabs>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2E9E">
    <w:pPr>
      <w:pStyle w:val="34"/>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62A5">
    <w:pPr>
      <w:pStyle w:val="34"/>
      <w:tabs>
        <w:tab w:val="clear" w:pos="4153"/>
        <w:tab w:val="clear" w:pos="8306"/>
      </w:tabs>
    </w:pP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6" name="Text Box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0pt;height:50pt;width:50pt;visibility:hidden;z-index:251659264;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xD+rLQAAAABQEAAA8AAAAAAAAAAQAgAAAAIgAAAGRycy9kb3ducmV2Lnht&#10;bFBLAQIUABQAAAAIAIdO4kDtVDy9OgIAAKUEAAAOAAAAAAAAAAEAIAAAAB8BAABkcnMvZTJvRG9j&#10;LnhtbFBLBQYAAAAABgAGAFkBAADLBQAAAAA=&#10;">
              <v:fill on="t" focussize="0,0"/>
              <v:stroke color="#000000" miterlimit="8" joinstyle="miter"/>
              <v:imagedata o:title=""/>
              <o:lock v:ext="edit" selection="t" aspectratio="t"/>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1270"/>
              <wp:wrapNone/>
              <wp:docPr id="5" name="00017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935" cy="284480"/>
                      </a:xfrm>
                      <a:prstGeom prst="rect">
                        <a:avLst/>
                      </a:prstGeom>
                      <a:noFill/>
                      <a:ln>
                        <a:noFill/>
                      </a:ln>
                    </wps:spPr>
                    <wps:txbx>
                      <w:txbxContent>
                        <w:p w14:paraId="5C26A765">
                          <w:pPr>
                            <w:pStyle w:val="34"/>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p w14:paraId="73AB999B"/>
                      </w:txbxContent>
                    </wps:txbx>
                    <wps:bodyPr rot="0" vert="horz" wrap="none" lIns="0" tIns="0" rIns="0" bIns="0" anchor="t" anchorCtr="0" upright="1">
                      <a:spAutoFit/>
                    </wps:bodyPr>
                  </wps:wsp>
                </a:graphicData>
              </a:graphic>
            </wp:anchor>
          </w:drawing>
        </mc:Choice>
        <mc:Fallback>
          <w:pict>
            <v:shape id="00017b"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p0xstAAAAADAQAADwAAAAAAAAABACAAAAAiAAAAZHJzL2Rvd25yZXYueG1s&#10;UEsBAhQAFAAAAAgAh07iQPju3a8AAgAAEAQAAA4AAAAAAAAAAQAgAAAAHwEAAGRycy9lMm9Eb2Mu&#10;eG1sUEsFBgAAAAAGAAYAWQEAAJEFAAAAAA==&#10;">
              <v:fill on="f" focussize="0,0"/>
              <v:stroke on="f"/>
              <v:imagedata o:title=""/>
              <o:lock v:ext="edit" aspectratio="t"/>
              <v:textbox inset="0mm,0mm,0mm,0mm" style="mso-fit-shape-to-text:t;">
                <w:txbxContent>
                  <w:p w14:paraId="5C26A765">
                    <w:pPr>
                      <w:pStyle w:val="34"/>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p w14:paraId="73AB999B"/>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EC04">
    <w:pPr>
      <w:pStyle w:val="34"/>
      <w:tabs>
        <w:tab w:val="clear" w:pos="4153"/>
        <w:tab w:val="clear" w:pos="8306"/>
      </w:tabs>
    </w:pPr>
    <w: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4" name="Text Box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0pt;margin-top:0pt;height:50pt;width:50pt;visibility:hidden;z-index:251661312;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xD+rLQAAAABQEAAA8AAAAAAAAAAQAgAAAAIgAAAGRycy9kb3ducmV2Lnht&#10;bFBLAQIUABQAAAAIAIdO4kCkK7oLOgIAAKUEAAAOAAAAAAAAAAEAIAAAAB8BAABkcnMvZTJvRG9j&#10;LnhtbFBLBQYAAAAABgAGAFkBAADLBQAAAAA=&#10;">
              <v:fill on="t" focussize="0,0"/>
              <v:stroke color="#000000" miterlimit="8" joinstyle="miter"/>
              <v:imagedata o:title=""/>
              <o:lock v:ext="edit" selection="t" aspectratio="t"/>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84480"/>
              <wp:effectExtent l="0" t="0" r="0" b="1270"/>
              <wp:wrapNone/>
              <wp:docPr id="3" name="00017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935" cy="284480"/>
                      </a:xfrm>
                      <a:prstGeom prst="rect">
                        <a:avLst/>
                      </a:prstGeom>
                      <a:noFill/>
                      <a:ln>
                        <a:noFill/>
                      </a:ln>
                    </wps:spPr>
                    <wps:txbx>
                      <w:txbxContent>
                        <w:p w14:paraId="052D4FC7">
                          <w:pPr>
                            <w:pStyle w:val="34"/>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p w14:paraId="4F3B93F9"/>
                      </w:txbxContent>
                    </wps:txbx>
                    <wps:bodyPr rot="0" vert="horz" wrap="none" lIns="0" tIns="0" rIns="0" bIns="0" anchor="t" anchorCtr="0" upright="1">
                      <a:spAutoFit/>
                    </wps:bodyPr>
                  </wps:wsp>
                </a:graphicData>
              </a:graphic>
            </wp:anchor>
          </w:drawing>
        </mc:Choice>
        <mc:Fallback>
          <w:pict>
            <v:shape id="00017c" o:spid="_x0000_s1026" o:spt="202" type="#_x0000_t202" style="position:absolute;left:0pt;margin-top:0pt;height:22.4pt;width:9.05pt;mso-position-horizontal:center;mso-position-horizontal-relative:margin;mso-wrap-style:none;z-index:251662336;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KdMbLQAAAAAwEAAA8AAAAAAAAAAQAgAAAAIgAAAGRycy9kb3ducmV2Lnht&#10;bFBLAQIUABQAAAAIAIdO4kDuTfb5AQIAABAEAAAOAAAAAAAAAAEAIAAAAB8BAABkcnMvZTJvRG9j&#10;LnhtbFBLBQYAAAAABgAGAFkBAACSBQAAAAA=&#10;">
              <v:fill on="f" focussize="0,0"/>
              <v:stroke on="f"/>
              <v:imagedata o:title=""/>
              <o:lock v:ext="edit" aspectratio="t"/>
              <v:textbox inset="0mm,0mm,0mm,0mm" style="mso-fit-shape-to-text:t;">
                <w:txbxContent>
                  <w:p w14:paraId="052D4FC7">
                    <w:pPr>
                      <w:pStyle w:val="34"/>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p w14:paraId="4F3B93F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C9E6">
    <w:pPr>
      <w:pStyle w:val="34"/>
      <w:framePr w:wrap="around" w:vAnchor="text" w:hAnchor="margin" w:xAlign="center" w:y="1"/>
      <w:tabs>
        <w:tab w:val="clear" w:pos="4153"/>
        <w:tab w:val="clear" w:pos="8306"/>
      </w:tabs>
    </w:pPr>
    <w:r>
      <w:fldChar w:fldCharType="begin"/>
    </w:r>
    <w:r>
      <w:rPr>
        <w:rStyle w:val="58"/>
      </w:rPr>
      <w:instrText xml:space="preserve">PAGE  </w:instrText>
    </w:r>
    <w:r>
      <w:fldChar w:fldCharType="end"/>
    </w:r>
  </w:p>
  <w:p w14:paraId="46847A3A">
    <w:pPr>
      <w:pStyle w:val="34"/>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2DB8">
    <w:pPr>
      <w:pStyle w:val="34"/>
      <w:tabs>
        <w:tab w:val="clear" w:pos="4153"/>
        <w:tab w:val="clear" w:pos="8306"/>
      </w:tabs>
      <w:jc w:val="center"/>
    </w:pPr>
    <w:r>
      <mc:AlternateContent>
        <mc:Choice Requires="wps">
          <w:drawing>
            <wp:anchor distT="0" distB="0" distL="114300" distR="114300" simplePos="0" relativeHeight="251663360"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2" name="Text Box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txBox="1">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0pt;height:50pt;width:50pt;visibility:hidden;z-index:251663360;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xD+rLQAAAABQEAAA8AAAAAAAAAAQAgAAAAIgAAAGRycy9kb3ducmV2Lnht&#10;bFBLAQIUABQAAAAIAIdO4kA+rEELOgIAAKUEAAAOAAAAAAAAAAEAIAAAAB8BAABkcnMvZTJvRG9j&#10;LnhtbFBLBQYAAAAABgAGAFkBAADLBQAAAAA=&#10;">
              <v:fill on="t" focussize="0,0"/>
              <v:stroke color="#000000" miterlimit="8" joinstyle="miter"/>
              <v:imagedata o:title=""/>
              <o:lock v:ext="edit" selection="t" aspectratio="t"/>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284480"/>
              <wp:effectExtent l="0" t="0" r="0" b="1270"/>
              <wp:wrapNone/>
              <wp:docPr id="1" name="00017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935" cy="284480"/>
                      </a:xfrm>
                      <a:prstGeom prst="rect">
                        <a:avLst/>
                      </a:prstGeom>
                      <a:noFill/>
                      <a:ln>
                        <a:noFill/>
                      </a:ln>
                    </wps:spPr>
                    <wps:txbx>
                      <w:txbxContent>
                        <w:p w14:paraId="6EA6BF09">
                          <w:pPr>
                            <w:pStyle w:val="34"/>
                            <w:tabs>
                              <w:tab w:val="clear" w:pos="4153"/>
                              <w:tab w:val="clear" w:pos="8306"/>
                            </w:tabs>
                            <w:jc w:val="center"/>
                          </w:pPr>
                          <w:r>
                            <w:fldChar w:fldCharType="begin"/>
                          </w:r>
                          <w:r>
                            <w:instrText xml:space="preserve"> PAGE   \* MERGEFORMAT </w:instrText>
                          </w:r>
                          <w:r>
                            <w:fldChar w:fldCharType="separate"/>
                          </w:r>
                          <w:r>
                            <w:rPr>
                              <w:lang w:val="zh-CN"/>
                            </w:rPr>
                            <w:t>47</w:t>
                          </w:r>
                          <w:r>
                            <w:fldChar w:fldCharType="end"/>
                          </w:r>
                        </w:p>
                        <w:p w14:paraId="771B2A4E"/>
                      </w:txbxContent>
                    </wps:txbx>
                    <wps:bodyPr rot="0" vert="horz" wrap="none" lIns="0" tIns="0" rIns="0" bIns="0" anchor="t" anchorCtr="0" upright="1">
                      <a:spAutoFit/>
                    </wps:bodyPr>
                  </wps:wsp>
                </a:graphicData>
              </a:graphic>
            </wp:anchor>
          </w:drawing>
        </mc:Choice>
        <mc:Fallback>
          <w:pict>
            <v:shape id="00017d" o:spid="_x0000_s1026" o:spt="202" type="#_x0000_t202" style="position:absolute;left:0pt;margin-top:0pt;height:22.4pt;width:9.05pt;mso-position-horizontal:center;mso-position-horizontal-relative:margin;mso-wrap-style:none;z-index:251664384;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nTGy0AAAAAMBAAAPAAAAAAAAAAEAIAAAACIAAABkcnMvZG93bnJldi54bWxQ&#10;SwECFAAUAAAACACHTuJAMFOKg/8BAAAQBAAADgAAAAAAAAABACAAAAAfAQAAZHJzL2Uyb0RvYy54&#10;bWxQSwUGAAAAAAYABgBZAQAAkAUAAAAA&#10;">
              <v:fill on="f" focussize="0,0"/>
              <v:stroke on="f"/>
              <v:imagedata o:title=""/>
              <o:lock v:ext="edit" aspectratio="t"/>
              <v:textbox inset="0mm,0mm,0mm,0mm" style="mso-fit-shape-to-text:t;">
                <w:txbxContent>
                  <w:p w14:paraId="6EA6BF09">
                    <w:pPr>
                      <w:pStyle w:val="34"/>
                      <w:tabs>
                        <w:tab w:val="clear" w:pos="4153"/>
                        <w:tab w:val="clear" w:pos="8306"/>
                      </w:tabs>
                      <w:jc w:val="center"/>
                    </w:pPr>
                    <w:r>
                      <w:fldChar w:fldCharType="begin"/>
                    </w:r>
                    <w:r>
                      <w:instrText xml:space="preserve"> PAGE   \* MERGEFORMAT </w:instrText>
                    </w:r>
                    <w:r>
                      <w:fldChar w:fldCharType="separate"/>
                    </w:r>
                    <w:r>
                      <w:rPr>
                        <w:lang w:val="zh-CN"/>
                      </w:rPr>
                      <w:t>47</w:t>
                    </w:r>
                    <w:r>
                      <w:fldChar w:fldCharType="end"/>
                    </w:r>
                  </w:p>
                  <w:p w14:paraId="771B2A4E"/>
                </w:txbxContent>
              </v:textbox>
            </v:shape>
          </w:pict>
        </mc:Fallback>
      </mc:AlternateContent>
    </w:r>
  </w:p>
  <w:p w14:paraId="7D2C9EA3">
    <w:pPr>
      <w:pStyle w:val="34"/>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CCD63">
    <w:pPr>
      <w:pStyle w:val="34"/>
      <w:tabs>
        <w:tab w:val="clear" w:pos="4153"/>
        <w:tab w:val="clear" w:pos="8306"/>
      </w:tabs>
      <w:jc w:val="center"/>
    </w:pPr>
    <w:r>
      <w:fldChar w:fldCharType="begin"/>
    </w:r>
    <w:r>
      <w:instrText xml:space="preserve">PAGE   \* MERGEFORMAT</w:instrText>
    </w:r>
    <w:r>
      <w:fldChar w:fldCharType="separate"/>
    </w:r>
    <w:r>
      <w:t>59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132B">
    <w:pPr>
      <w:pStyle w:val="35"/>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C0936">
    <w:pPr>
      <w:pStyle w:val="35"/>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56BE">
    <w:pPr>
      <w:pStyle w:val="35"/>
      <w:pBdr>
        <w:bottom w:val="none" w:color="000000" w:sz="0" w:space="1"/>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312C">
    <w:pPr>
      <w:pStyle w:val="35"/>
      <w:pBdr>
        <w:bottom w:val="none" w:color="000000" w:sz="0" w:space="0"/>
      </w:pBdr>
      <w:tabs>
        <w:tab w:val="clear" w:pos="4153"/>
        <w:tab w:val="clear"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40F0">
    <w:pPr>
      <w:pStyle w:val="35"/>
      <w:tabs>
        <w:tab w:val="clear" w:pos="4153"/>
        <w:tab w:val="clear" w:pos="8306"/>
      </w:tabs>
      <w:wordWrap w:val="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0558">
    <w:pPr>
      <w:pStyle w:val="35"/>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24"/>
      <w:lvlText w:val="%1."/>
      <w:lvlJc w:val="left"/>
      <w:pPr>
        <w:tabs>
          <w:tab w:val="left" w:pos="1200"/>
        </w:tabs>
        <w:ind w:left="1200" w:hanging="360"/>
      </w:pPr>
    </w:lvl>
  </w:abstractNum>
  <w:abstractNum w:abstractNumId="1">
    <w:nsid w:val="00000002"/>
    <w:multiLevelType w:val="multilevel"/>
    <w:tmpl w:val="00000002"/>
    <w:lvl w:ilvl="0" w:tentative="0">
      <w:start w:val="1"/>
      <w:numFmt w:val="decimal"/>
      <w:pStyle w:val="103"/>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5"/>
    <w:multiLevelType w:val="multilevel"/>
    <w:tmpl w:val="00000005"/>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9"/>
      <w:suff w:val="nothing"/>
      <w:lvlText w:val=""/>
      <w:lvlJc w:val="left"/>
      <w:pPr>
        <w:ind w:left="0" w:firstLine="0"/>
      </w:pPr>
      <w:rPr>
        <w:rFonts w:hint="eastAsia"/>
      </w:rPr>
    </w:lvl>
    <w:lvl w:ilvl="5" w:tentative="0">
      <w:start w:val="1"/>
      <w:numFmt w:val="decimal"/>
      <w:pStyle w:val="11"/>
      <w:suff w:val="nothing"/>
      <w:lvlText w:val=""/>
      <w:lvlJc w:val="left"/>
      <w:pPr>
        <w:ind w:left="0" w:firstLine="0"/>
      </w:pPr>
      <w:rPr>
        <w:rFonts w:hint="eastAsia"/>
      </w:rPr>
    </w:lvl>
    <w:lvl w:ilvl="6" w:tentative="0">
      <w:start w:val="1"/>
      <w:numFmt w:val="decimal"/>
      <w:pStyle w:val="12"/>
      <w:suff w:val="nothing"/>
      <w:lvlText w:val=""/>
      <w:lvlJc w:val="left"/>
      <w:pPr>
        <w:ind w:left="0" w:firstLine="0"/>
      </w:pPr>
      <w:rPr>
        <w:rFonts w:hint="eastAsia"/>
      </w:rPr>
    </w:lvl>
    <w:lvl w:ilvl="7" w:tentative="0">
      <w:start w:val="1"/>
      <w:numFmt w:val="decimal"/>
      <w:pStyle w:val="13"/>
      <w:suff w:val="nothing"/>
      <w:lvlText w:val=""/>
      <w:lvlJc w:val="left"/>
      <w:pPr>
        <w:ind w:left="0" w:firstLine="0"/>
      </w:pPr>
      <w:rPr>
        <w:rFonts w:hint="eastAsia"/>
      </w:rPr>
    </w:lvl>
    <w:lvl w:ilvl="8" w:tentative="0">
      <w:start w:val="1"/>
      <w:numFmt w:val="decimal"/>
      <w:pStyle w:val="14"/>
      <w:suff w:val="nothing"/>
      <w:lvlText w:val=""/>
      <w:lvlJc w:val="left"/>
      <w:pPr>
        <w:ind w:left="0" w:firstLine="0"/>
      </w:pPr>
      <w:rPr>
        <w:rFonts w:hint="eastAsia"/>
      </w:rPr>
    </w:lvl>
  </w:abstractNum>
  <w:abstractNum w:abstractNumId="3">
    <w:nsid w:val="00000007"/>
    <w:multiLevelType w:val="multilevel"/>
    <w:tmpl w:val="00000007"/>
    <w:lvl w:ilvl="0" w:tentative="0">
      <w:start w:val="1"/>
      <w:numFmt w:val="decimal"/>
      <w:pStyle w:val="203"/>
      <w:lvlText w:val="（%1）"/>
      <w:lvlJc w:val="left"/>
      <w:pPr>
        <w:ind w:left="1275" w:hanging="750"/>
      </w:pPr>
      <w:rPr>
        <w:lang w:val="en-U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4">
    <w:nsid w:val="00000008"/>
    <w:multiLevelType w:val="multilevel"/>
    <w:tmpl w:val="00000008"/>
    <w:lvl w:ilvl="0" w:tentative="0">
      <w:start w:val="1"/>
      <w:numFmt w:val="decimal"/>
      <w:pStyle w:val="183"/>
      <w:lvlText w:val="%1．"/>
      <w:lvlJc w:val="left"/>
      <w:pPr>
        <w:ind w:left="1004" w:hanging="7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00000009"/>
    <w:multiLevelType w:val="multilevel"/>
    <w:tmpl w:val="00000009"/>
    <w:lvl w:ilvl="0" w:tentative="0">
      <w:start w:val="1"/>
      <w:numFmt w:val="decimal"/>
      <w:pStyle w:val="102"/>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78DFF0C"/>
    <w:multiLevelType w:val="singleLevel"/>
    <w:tmpl w:val="378DFF0C"/>
    <w:lvl w:ilvl="0" w:tentative="0">
      <w:start w:val="5"/>
      <w:numFmt w:val="chineseCounting"/>
      <w:suff w:val="space"/>
      <w:lvlText w:val="第%1章"/>
      <w:lvlJc w:val="left"/>
      <w:rPr>
        <w:rFonts w:hint="eastAsia"/>
      </w:rPr>
    </w:lvl>
  </w:abstractNum>
  <w:abstractNum w:abstractNumId="7">
    <w:nsid w:val="74C85F60"/>
    <w:multiLevelType w:val="multilevel"/>
    <w:tmpl w:val="74C85F60"/>
    <w:lvl w:ilvl="0" w:tentative="0">
      <w:start w:val="1"/>
      <w:numFmt w:val="decimal"/>
      <w:lvlText w:val="%1"/>
      <w:lvlJc w:val="left"/>
      <w:pPr>
        <w:ind w:left="-5" w:hanging="420"/>
      </w:pPr>
      <w:rPr>
        <w:rFonts w:hint="eastAsia"/>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cumentProtection w:enforcement="0"/>
  <w:defaultTabStop w:val="420"/>
  <w:noPunctuationKerning w:val="1"/>
  <w:characterSpacingControl w:val="compressPunctuation"/>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78"/>
    <w:rsid w:val="0009441B"/>
    <w:rsid w:val="000A58A5"/>
    <w:rsid w:val="000B08DF"/>
    <w:rsid w:val="000C35A3"/>
    <w:rsid w:val="00100393"/>
    <w:rsid w:val="0011607B"/>
    <w:rsid w:val="00133BD5"/>
    <w:rsid w:val="00161214"/>
    <w:rsid w:val="001B61C5"/>
    <w:rsid w:val="001C3176"/>
    <w:rsid w:val="00205271"/>
    <w:rsid w:val="00276679"/>
    <w:rsid w:val="00291AB8"/>
    <w:rsid w:val="002A00FF"/>
    <w:rsid w:val="002A7E99"/>
    <w:rsid w:val="002B4D87"/>
    <w:rsid w:val="002D3307"/>
    <w:rsid w:val="00337A33"/>
    <w:rsid w:val="0035798B"/>
    <w:rsid w:val="003D6332"/>
    <w:rsid w:val="003F2FE5"/>
    <w:rsid w:val="00405916"/>
    <w:rsid w:val="00405F13"/>
    <w:rsid w:val="00410F76"/>
    <w:rsid w:val="0042240A"/>
    <w:rsid w:val="004249A8"/>
    <w:rsid w:val="00451818"/>
    <w:rsid w:val="00455E83"/>
    <w:rsid w:val="00460B38"/>
    <w:rsid w:val="004A298D"/>
    <w:rsid w:val="004C7DF6"/>
    <w:rsid w:val="004E1DA2"/>
    <w:rsid w:val="00546313"/>
    <w:rsid w:val="005657EC"/>
    <w:rsid w:val="00571468"/>
    <w:rsid w:val="00603610"/>
    <w:rsid w:val="006279FD"/>
    <w:rsid w:val="006303D3"/>
    <w:rsid w:val="006A47B1"/>
    <w:rsid w:val="006C2887"/>
    <w:rsid w:val="006F6794"/>
    <w:rsid w:val="00711686"/>
    <w:rsid w:val="00781FC6"/>
    <w:rsid w:val="007A6BCE"/>
    <w:rsid w:val="007B08A2"/>
    <w:rsid w:val="00821996"/>
    <w:rsid w:val="00830629"/>
    <w:rsid w:val="00864C7D"/>
    <w:rsid w:val="00885A2C"/>
    <w:rsid w:val="008D03E7"/>
    <w:rsid w:val="008F44F8"/>
    <w:rsid w:val="009135F5"/>
    <w:rsid w:val="009230A2"/>
    <w:rsid w:val="009503D0"/>
    <w:rsid w:val="00980297"/>
    <w:rsid w:val="009933E3"/>
    <w:rsid w:val="009A2C6E"/>
    <w:rsid w:val="009B4C82"/>
    <w:rsid w:val="009C7E06"/>
    <w:rsid w:val="009D6F23"/>
    <w:rsid w:val="009E2206"/>
    <w:rsid w:val="00A274AA"/>
    <w:rsid w:val="00A5447F"/>
    <w:rsid w:val="00A95DD2"/>
    <w:rsid w:val="00AB7826"/>
    <w:rsid w:val="00AC0FE1"/>
    <w:rsid w:val="00AD0382"/>
    <w:rsid w:val="00AD3B47"/>
    <w:rsid w:val="00B022E7"/>
    <w:rsid w:val="00B03E0D"/>
    <w:rsid w:val="00B3175C"/>
    <w:rsid w:val="00B40C0D"/>
    <w:rsid w:val="00B44C1A"/>
    <w:rsid w:val="00B44D18"/>
    <w:rsid w:val="00B654E5"/>
    <w:rsid w:val="00B90BD6"/>
    <w:rsid w:val="00BC578D"/>
    <w:rsid w:val="00BE1148"/>
    <w:rsid w:val="00C275A5"/>
    <w:rsid w:val="00C331CB"/>
    <w:rsid w:val="00C433EC"/>
    <w:rsid w:val="00C47CB5"/>
    <w:rsid w:val="00C57178"/>
    <w:rsid w:val="00C66A29"/>
    <w:rsid w:val="00C87E7C"/>
    <w:rsid w:val="00CC690E"/>
    <w:rsid w:val="00D30543"/>
    <w:rsid w:val="00D41344"/>
    <w:rsid w:val="00D47AA6"/>
    <w:rsid w:val="00D902F1"/>
    <w:rsid w:val="00DA48B5"/>
    <w:rsid w:val="00DC601C"/>
    <w:rsid w:val="00E03A51"/>
    <w:rsid w:val="00E2196E"/>
    <w:rsid w:val="00E6671B"/>
    <w:rsid w:val="00E67388"/>
    <w:rsid w:val="00EF06D2"/>
    <w:rsid w:val="00EF2546"/>
    <w:rsid w:val="00F26212"/>
    <w:rsid w:val="00F33EC0"/>
    <w:rsid w:val="00F37A99"/>
    <w:rsid w:val="00F66DEF"/>
    <w:rsid w:val="00F6779F"/>
    <w:rsid w:val="00FC5CF1"/>
    <w:rsid w:val="00FD1338"/>
    <w:rsid w:val="00FD52D1"/>
    <w:rsid w:val="00FD6D92"/>
    <w:rsid w:val="00FD74EA"/>
    <w:rsid w:val="00FF3877"/>
    <w:rsid w:val="021C7C79"/>
    <w:rsid w:val="031F385D"/>
    <w:rsid w:val="03790211"/>
    <w:rsid w:val="058663AA"/>
    <w:rsid w:val="06532730"/>
    <w:rsid w:val="06570820"/>
    <w:rsid w:val="07313970"/>
    <w:rsid w:val="08316EAC"/>
    <w:rsid w:val="092D63D0"/>
    <w:rsid w:val="0AC95B57"/>
    <w:rsid w:val="0CCF0636"/>
    <w:rsid w:val="0D11730D"/>
    <w:rsid w:val="0DE16873"/>
    <w:rsid w:val="0E312118"/>
    <w:rsid w:val="0EEC3721"/>
    <w:rsid w:val="0F3833C1"/>
    <w:rsid w:val="0F9067A2"/>
    <w:rsid w:val="0F920464"/>
    <w:rsid w:val="0FEE34C9"/>
    <w:rsid w:val="10B913CB"/>
    <w:rsid w:val="10DF6D09"/>
    <w:rsid w:val="11CA217A"/>
    <w:rsid w:val="129245E0"/>
    <w:rsid w:val="133D23CB"/>
    <w:rsid w:val="13833F28"/>
    <w:rsid w:val="14AC4782"/>
    <w:rsid w:val="15E31EF8"/>
    <w:rsid w:val="162B4B2F"/>
    <w:rsid w:val="165C118C"/>
    <w:rsid w:val="16CB6357"/>
    <w:rsid w:val="16D72F09"/>
    <w:rsid w:val="16E573D4"/>
    <w:rsid w:val="18332F1D"/>
    <w:rsid w:val="18A25FF8"/>
    <w:rsid w:val="18D92F68"/>
    <w:rsid w:val="18E51CCE"/>
    <w:rsid w:val="192835A8"/>
    <w:rsid w:val="1A0205CA"/>
    <w:rsid w:val="1AF9490D"/>
    <w:rsid w:val="1D5914FE"/>
    <w:rsid w:val="1DE57CB9"/>
    <w:rsid w:val="1EA00084"/>
    <w:rsid w:val="206770AC"/>
    <w:rsid w:val="208F03B0"/>
    <w:rsid w:val="22535C24"/>
    <w:rsid w:val="232D3B54"/>
    <w:rsid w:val="238C6E29"/>
    <w:rsid w:val="23A81EB5"/>
    <w:rsid w:val="23E44B30"/>
    <w:rsid w:val="24EF7670"/>
    <w:rsid w:val="27E65EE2"/>
    <w:rsid w:val="28F74D45"/>
    <w:rsid w:val="2A4B1D52"/>
    <w:rsid w:val="2A790107"/>
    <w:rsid w:val="2A895E70"/>
    <w:rsid w:val="2A9B7FD8"/>
    <w:rsid w:val="2ADE7F6A"/>
    <w:rsid w:val="2B1F657D"/>
    <w:rsid w:val="2C5B55EB"/>
    <w:rsid w:val="2DB87198"/>
    <w:rsid w:val="2E9B6172"/>
    <w:rsid w:val="31DF7929"/>
    <w:rsid w:val="31EF5153"/>
    <w:rsid w:val="32236BAB"/>
    <w:rsid w:val="329F0927"/>
    <w:rsid w:val="3408684F"/>
    <w:rsid w:val="34313801"/>
    <w:rsid w:val="35D13195"/>
    <w:rsid w:val="3611375F"/>
    <w:rsid w:val="36760C27"/>
    <w:rsid w:val="37AD13F0"/>
    <w:rsid w:val="37FB167A"/>
    <w:rsid w:val="39247457"/>
    <w:rsid w:val="39AB5E03"/>
    <w:rsid w:val="3A6B10EF"/>
    <w:rsid w:val="3AF410E4"/>
    <w:rsid w:val="3C343057"/>
    <w:rsid w:val="3CF8720E"/>
    <w:rsid w:val="3DA6772D"/>
    <w:rsid w:val="3ECC1B22"/>
    <w:rsid w:val="3ED731F7"/>
    <w:rsid w:val="3F7171A7"/>
    <w:rsid w:val="3F9A4F5A"/>
    <w:rsid w:val="40755748"/>
    <w:rsid w:val="40E045E4"/>
    <w:rsid w:val="412B15D8"/>
    <w:rsid w:val="426D00FA"/>
    <w:rsid w:val="42741922"/>
    <w:rsid w:val="431C0DEE"/>
    <w:rsid w:val="43337E46"/>
    <w:rsid w:val="438D657A"/>
    <w:rsid w:val="453D38F3"/>
    <w:rsid w:val="467557CF"/>
    <w:rsid w:val="467700C5"/>
    <w:rsid w:val="46973E63"/>
    <w:rsid w:val="46F50B23"/>
    <w:rsid w:val="470E352E"/>
    <w:rsid w:val="49170F46"/>
    <w:rsid w:val="4A266DE0"/>
    <w:rsid w:val="4B576B84"/>
    <w:rsid w:val="4BBA6B72"/>
    <w:rsid w:val="4BE156B5"/>
    <w:rsid w:val="4BF076A6"/>
    <w:rsid w:val="4BF21670"/>
    <w:rsid w:val="4C9F78D1"/>
    <w:rsid w:val="4DBF1A26"/>
    <w:rsid w:val="4DD25254"/>
    <w:rsid w:val="4F5D14F6"/>
    <w:rsid w:val="503E1D55"/>
    <w:rsid w:val="530028C4"/>
    <w:rsid w:val="53443A0A"/>
    <w:rsid w:val="544B4013"/>
    <w:rsid w:val="54F84145"/>
    <w:rsid w:val="55525A05"/>
    <w:rsid w:val="558F6181"/>
    <w:rsid w:val="56D56CE4"/>
    <w:rsid w:val="57174266"/>
    <w:rsid w:val="579655A5"/>
    <w:rsid w:val="585B059D"/>
    <w:rsid w:val="58975A79"/>
    <w:rsid w:val="58F762D1"/>
    <w:rsid w:val="59D42107"/>
    <w:rsid w:val="59F2429E"/>
    <w:rsid w:val="5A7C4F26"/>
    <w:rsid w:val="5AB67D0C"/>
    <w:rsid w:val="5AEE394A"/>
    <w:rsid w:val="5B621D4A"/>
    <w:rsid w:val="5C8A1451"/>
    <w:rsid w:val="5C9B540C"/>
    <w:rsid w:val="5DA76546"/>
    <w:rsid w:val="5DB000DA"/>
    <w:rsid w:val="5EB27380"/>
    <w:rsid w:val="5FC1134C"/>
    <w:rsid w:val="5FEA31FA"/>
    <w:rsid w:val="602A23AC"/>
    <w:rsid w:val="60600E46"/>
    <w:rsid w:val="616404C2"/>
    <w:rsid w:val="61930DA7"/>
    <w:rsid w:val="61A10413"/>
    <w:rsid w:val="62EF200D"/>
    <w:rsid w:val="64224890"/>
    <w:rsid w:val="64A655FC"/>
    <w:rsid w:val="65DC400D"/>
    <w:rsid w:val="67717495"/>
    <w:rsid w:val="679A2C60"/>
    <w:rsid w:val="67F87BB6"/>
    <w:rsid w:val="67FD4B11"/>
    <w:rsid w:val="68ED5E22"/>
    <w:rsid w:val="69012A9A"/>
    <w:rsid w:val="69D16911"/>
    <w:rsid w:val="6A514152"/>
    <w:rsid w:val="6B3B04E6"/>
    <w:rsid w:val="6B9A16B0"/>
    <w:rsid w:val="6BA2105F"/>
    <w:rsid w:val="6BBD0EFB"/>
    <w:rsid w:val="6C7041BF"/>
    <w:rsid w:val="6CC909AD"/>
    <w:rsid w:val="6D1B05CF"/>
    <w:rsid w:val="6D246FD0"/>
    <w:rsid w:val="6E0252EB"/>
    <w:rsid w:val="6E736112"/>
    <w:rsid w:val="6F101C89"/>
    <w:rsid w:val="708741CD"/>
    <w:rsid w:val="720A0C12"/>
    <w:rsid w:val="72914E8F"/>
    <w:rsid w:val="74192D28"/>
    <w:rsid w:val="746C354F"/>
    <w:rsid w:val="74DA0176"/>
    <w:rsid w:val="74F00593"/>
    <w:rsid w:val="75706FDE"/>
    <w:rsid w:val="7600572E"/>
    <w:rsid w:val="763F7A87"/>
    <w:rsid w:val="76C92E49"/>
    <w:rsid w:val="775A1CF3"/>
    <w:rsid w:val="77FB7B93"/>
    <w:rsid w:val="79951D7E"/>
    <w:rsid w:val="79DE4E5E"/>
    <w:rsid w:val="7AEC17DC"/>
    <w:rsid w:val="7BA81780"/>
    <w:rsid w:val="7BE95E2F"/>
    <w:rsid w:val="7C0E12FE"/>
    <w:rsid w:val="7C460A98"/>
    <w:rsid w:val="7D9F2B56"/>
    <w:rsid w:val="7E0258A0"/>
    <w:rsid w:val="7EA9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250"/>
    <w:qFormat/>
    <w:uiPriority w:val="9"/>
    <w:pPr>
      <w:keepNext/>
      <w:keepLines/>
      <w:spacing w:line="360" w:lineRule="auto"/>
      <w:outlineLvl w:val="0"/>
    </w:pPr>
    <w:rPr>
      <w:rFonts w:ascii="Times New Roman" w:hAnsi="Times New Roman" w:eastAsia="黑体"/>
      <w:b/>
      <w:bCs/>
      <w:kern w:val="44"/>
      <w:sz w:val="32"/>
      <w:szCs w:val="44"/>
    </w:rPr>
  </w:style>
  <w:style w:type="paragraph" w:styleId="4">
    <w:name w:val="heading 2"/>
    <w:basedOn w:val="1"/>
    <w:next w:val="1"/>
    <w:link w:val="136"/>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77"/>
    <w:unhideWhenUsed/>
    <w:qFormat/>
    <w:uiPriority w:val="9"/>
    <w:pPr>
      <w:keepNext/>
      <w:keepLines/>
      <w:spacing w:before="260" w:after="260" w:line="416" w:lineRule="auto"/>
      <w:outlineLvl w:val="2"/>
    </w:pPr>
    <w:rPr>
      <w:b/>
      <w:bCs/>
      <w:sz w:val="32"/>
      <w:szCs w:val="32"/>
    </w:rPr>
  </w:style>
  <w:style w:type="paragraph" w:styleId="6">
    <w:name w:val="heading 4"/>
    <w:basedOn w:val="7"/>
    <w:next w:val="7"/>
    <w:link w:val="300"/>
    <w:unhideWhenUsed/>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159"/>
    <w:semiHidden/>
    <w:unhideWhenUsed/>
    <w:qFormat/>
    <w:uiPriority w:val="9"/>
    <w:pPr>
      <w:keepNext/>
      <w:keepLines/>
      <w:numPr>
        <w:ilvl w:val="4"/>
        <w:numId w:val="1"/>
      </w:numPr>
      <w:spacing w:before="280" w:after="290" w:line="376" w:lineRule="auto"/>
      <w:outlineLvl w:val="4"/>
    </w:pPr>
    <w:rPr>
      <w:b/>
      <w:sz w:val="28"/>
    </w:rPr>
  </w:style>
  <w:style w:type="paragraph" w:styleId="11">
    <w:name w:val="heading 6"/>
    <w:basedOn w:val="1"/>
    <w:next w:val="10"/>
    <w:link w:val="143"/>
    <w:semiHidden/>
    <w:unhideWhenUsed/>
    <w:qFormat/>
    <w:uiPriority w:val="9"/>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208"/>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7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290"/>
    <w:qFormat/>
    <w:uiPriority w:val="0"/>
    <w:pPr>
      <w:keepNext/>
      <w:keepLines/>
      <w:numPr>
        <w:ilvl w:val="8"/>
        <w:numId w:val="1"/>
      </w:numPr>
      <w:spacing w:before="240" w:after="64" w:line="320" w:lineRule="auto"/>
      <w:outlineLvl w:val="8"/>
    </w:pPr>
    <w:rPr>
      <w:rFonts w:ascii="Arial" w:hAnsi="Arial" w:eastAsia="黑体"/>
    </w:rPr>
  </w:style>
  <w:style w:type="character" w:default="1" w:styleId="56">
    <w:name w:val="Default Paragraph Font"/>
    <w:semiHidden/>
    <w:unhideWhenUsed/>
    <w:uiPriority w:val="1"/>
  </w:style>
  <w:style w:type="table" w:default="1" w:styleId="54">
    <w:name w:val="Normal Table"/>
    <w:semiHidden/>
    <w:unhideWhenUsed/>
    <w:uiPriority w:val="99"/>
    <w:tblPr>
      <w:tblCellMar>
        <w:top w:w="0" w:type="dxa"/>
        <w:left w:w="108" w:type="dxa"/>
        <w:bottom w:w="0" w:type="dxa"/>
        <w:right w:w="108" w:type="dxa"/>
      </w:tblCellMar>
    </w:tblPr>
  </w:style>
  <w:style w:type="paragraph" w:customStyle="1" w:styleId="3">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Normal_1"/>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表格文字"/>
    <w:basedOn w:val="1"/>
    <w:qFormat/>
    <w:uiPriority w:val="0"/>
    <w:pPr>
      <w:spacing w:before="25" w:after="25"/>
      <w:jc w:val="left"/>
    </w:pPr>
    <w:rPr>
      <w:bCs/>
      <w:spacing w:val="10"/>
      <w:kern w:val="0"/>
      <w:sz w:val="24"/>
      <w:szCs w:val="20"/>
    </w:rPr>
  </w:style>
  <w:style w:type="paragraph" w:styleId="10">
    <w:name w:val="Normal Indent"/>
    <w:basedOn w:val="1"/>
    <w:link w:val="299"/>
    <w:qFormat/>
    <w:uiPriority w:val="0"/>
    <w:pPr>
      <w:widowControl/>
      <w:spacing w:line="360" w:lineRule="auto"/>
      <w:ind w:firstLine="567"/>
      <w:jc w:val="left"/>
    </w:pPr>
    <w:rPr>
      <w:kern w:val="0"/>
      <w:sz w:val="28"/>
      <w:szCs w:val="20"/>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0"/>
    <w:pPr>
      <w:ind w:left="2520" w:leftChars="1200"/>
    </w:pPr>
    <w:rPr>
      <w:rFonts w:ascii="Calibri" w:hAnsi="Calibri"/>
      <w:szCs w:val="22"/>
    </w:rPr>
  </w:style>
  <w:style w:type="paragraph" w:styleId="17">
    <w:name w:val="List Number"/>
    <w:basedOn w:val="1"/>
    <w:qFormat/>
    <w:uiPriority w:val="0"/>
    <w:pPr>
      <w:widowControl/>
      <w:tabs>
        <w:tab w:val="left" w:pos="454"/>
        <w:tab w:val="left" w:pos="720"/>
        <w:tab w:val="left" w:pos="840"/>
      </w:tabs>
      <w:ind w:left="454" w:hanging="284"/>
      <w:jc w:val="left"/>
    </w:pPr>
    <w:rPr>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Document Map"/>
    <w:basedOn w:val="1"/>
    <w:qFormat/>
    <w:uiPriority w:val="0"/>
    <w:pPr>
      <w:shd w:val="clear" w:color="auto" w:fill="000080"/>
    </w:pPr>
  </w:style>
  <w:style w:type="paragraph" w:styleId="20">
    <w:name w:val="annotation text"/>
    <w:basedOn w:val="1"/>
    <w:link w:val="75"/>
    <w:qFormat/>
    <w:uiPriority w:val="0"/>
    <w:pPr>
      <w:jc w:val="left"/>
    </w:pPr>
  </w:style>
  <w:style w:type="paragraph" w:styleId="21">
    <w:name w:val="Body Text 3"/>
    <w:basedOn w:val="1"/>
    <w:link w:val="108"/>
    <w:qFormat/>
    <w:uiPriority w:val="0"/>
    <w:pPr>
      <w:spacing w:line="500" w:lineRule="exact"/>
    </w:pPr>
    <w:rPr>
      <w:b/>
      <w:bCs/>
      <w:sz w:val="24"/>
    </w:rPr>
  </w:style>
  <w:style w:type="paragraph" w:styleId="22">
    <w:name w:val="Body Text"/>
    <w:basedOn w:val="7"/>
    <w:unhideWhenUsed/>
    <w:qFormat/>
    <w:uiPriority w:val="0"/>
    <w:pPr>
      <w:spacing w:after="60" w:line="360" w:lineRule="atLeast"/>
      <w:ind w:left="72" w:leftChars="30" w:right="30" w:rightChars="30"/>
      <w:jc w:val="center"/>
    </w:pPr>
    <w:rPr>
      <w:rFonts w:ascii="Times New Roman" w:hAnsi="Times New Roman"/>
    </w:rPr>
  </w:style>
  <w:style w:type="paragraph" w:styleId="23">
    <w:name w:val="Body Text Indent"/>
    <w:basedOn w:val="1"/>
    <w:link w:val="181"/>
    <w:qFormat/>
    <w:uiPriority w:val="0"/>
    <w:pPr>
      <w:ind w:firstLine="830" w:firstLineChars="352"/>
    </w:pPr>
    <w:rPr>
      <w:rFonts w:ascii="仿宋_GB2312" w:eastAsia="仿宋_GB2312"/>
      <w:kern w:val="0"/>
      <w:sz w:val="32"/>
      <w:szCs w:val="20"/>
    </w:rPr>
  </w:style>
  <w:style w:type="paragraph" w:styleId="24">
    <w:name w:val="List Number 3"/>
    <w:basedOn w:val="1"/>
    <w:qFormat/>
    <w:uiPriority w:val="0"/>
    <w:pPr>
      <w:numPr>
        <w:ilvl w:val="0"/>
        <w:numId w:val="2"/>
      </w:numPr>
      <w:tabs>
        <w:tab w:val="clear" w:pos="1200"/>
      </w:tabs>
    </w:pPr>
  </w:style>
  <w:style w:type="paragraph" w:styleId="25">
    <w:name w:val="List 2"/>
    <w:basedOn w:val="1"/>
    <w:qFormat/>
    <w:uiPriority w:val="0"/>
    <w:pPr>
      <w:ind w:left="100" w:leftChars="200" w:hanging="200" w:hangingChars="200"/>
    </w:pPr>
    <w:rPr>
      <w:sz w:val="28"/>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0"/>
    <w:pPr>
      <w:ind w:left="840" w:leftChars="400"/>
    </w:pPr>
    <w:rPr>
      <w:rFonts w:ascii="Calibri" w:hAnsi="Calibri"/>
      <w:szCs w:val="22"/>
    </w:rPr>
  </w:style>
  <w:style w:type="paragraph" w:styleId="28">
    <w:name w:val="Plain Text"/>
    <w:basedOn w:val="1"/>
    <w:next w:val="1"/>
    <w:link w:val="184"/>
    <w:qFormat/>
    <w:uiPriority w:val="0"/>
    <w:rPr>
      <w:rFonts w:ascii="宋体" w:hAnsi="Courier New"/>
      <w:kern w:val="0"/>
      <w:sz w:val="20"/>
      <w:szCs w:val="21"/>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00"/>
    <w:qFormat/>
    <w:uiPriority w:val="0"/>
    <w:pPr>
      <w:ind w:left="100" w:leftChars="2500"/>
    </w:pPr>
  </w:style>
  <w:style w:type="paragraph" w:styleId="31">
    <w:name w:val="Body Text Indent 2"/>
    <w:basedOn w:val="1"/>
    <w:link w:val="163"/>
    <w:qFormat/>
    <w:uiPriority w:val="0"/>
    <w:pPr>
      <w:ind w:firstLine="630"/>
    </w:pPr>
    <w:rPr>
      <w:sz w:val="32"/>
      <w:szCs w:val="20"/>
    </w:rPr>
  </w:style>
  <w:style w:type="paragraph" w:styleId="32">
    <w:name w:val="endnote text"/>
    <w:basedOn w:val="1"/>
    <w:qFormat/>
    <w:uiPriority w:val="0"/>
    <w:pPr>
      <w:jc w:val="left"/>
    </w:pPr>
  </w:style>
  <w:style w:type="paragraph" w:styleId="33">
    <w:name w:val="Balloon Text"/>
    <w:basedOn w:val="1"/>
    <w:qFormat/>
    <w:uiPriority w:val="0"/>
    <w:rPr>
      <w:sz w:val="18"/>
      <w:szCs w:val="18"/>
    </w:rPr>
  </w:style>
  <w:style w:type="paragraph" w:styleId="34">
    <w:name w:val="footer"/>
    <w:basedOn w:val="1"/>
    <w:link w:val="228"/>
    <w:qFormat/>
    <w:uiPriority w:val="0"/>
    <w:pPr>
      <w:tabs>
        <w:tab w:val="center" w:pos="4153"/>
        <w:tab w:val="right" w:pos="8306"/>
      </w:tabs>
      <w:jc w:val="left"/>
    </w:pPr>
    <w:rPr>
      <w:kern w:val="0"/>
      <w:sz w:val="18"/>
      <w:szCs w:val="18"/>
    </w:rPr>
  </w:style>
  <w:style w:type="paragraph" w:styleId="35">
    <w:name w:val="header"/>
    <w:basedOn w:val="1"/>
    <w:link w:val="156"/>
    <w:qFormat/>
    <w:uiPriority w:val="0"/>
    <w:pPr>
      <w:pBdr>
        <w:bottom w:val="single" w:color="000000" w:sz="6" w:space="1"/>
      </w:pBdr>
      <w:tabs>
        <w:tab w:val="center" w:pos="4153"/>
        <w:tab w:val="right" w:pos="8306"/>
      </w:tabs>
      <w:jc w:val="center"/>
    </w:pPr>
    <w:rPr>
      <w:kern w:val="0"/>
      <w:sz w:val="18"/>
      <w:szCs w:val="18"/>
    </w:rPr>
  </w:style>
  <w:style w:type="paragraph" w:styleId="36">
    <w:name w:val="toc 1"/>
    <w:basedOn w:val="1"/>
    <w:next w:val="1"/>
    <w:qFormat/>
    <w:uiPriority w:val="0"/>
  </w:style>
  <w:style w:type="paragraph" w:styleId="37">
    <w:name w:val="toc 4"/>
    <w:basedOn w:val="1"/>
    <w:next w:val="1"/>
    <w:qFormat/>
    <w:uiPriority w:val="0"/>
    <w:pPr>
      <w:ind w:left="1260" w:leftChars="600"/>
    </w:pPr>
    <w:rPr>
      <w:rFonts w:ascii="Calibri" w:hAnsi="Calibri"/>
      <w:szCs w:val="22"/>
    </w:rPr>
  </w:style>
  <w:style w:type="paragraph" w:styleId="38">
    <w:name w:val="index heading"/>
    <w:basedOn w:val="1"/>
    <w:next w:val="39"/>
    <w:qFormat/>
    <w:uiPriority w:val="0"/>
    <w:rPr>
      <w:szCs w:val="20"/>
    </w:rPr>
  </w:style>
  <w:style w:type="paragraph" w:styleId="39">
    <w:name w:val="index 1"/>
    <w:basedOn w:val="1"/>
    <w:next w:val="1"/>
    <w:qFormat/>
    <w:uiPriority w:val="0"/>
    <w:pPr>
      <w:spacing w:line="320" w:lineRule="exact"/>
      <w:ind w:firstLine="315" w:firstLineChars="150"/>
    </w:pPr>
    <w:rPr>
      <w:rFonts w:ascii="宋体" w:hAnsi="宋体"/>
      <w:bCs/>
      <w:szCs w:val="21"/>
    </w:rPr>
  </w:style>
  <w:style w:type="paragraph" w:styleId="4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qFormat/>
    <w:uiPriority w:val="0"/>
    <w:pPr>
      <w:ind w:left="200" w:hanging="200" w:hangingChars="200"/>
    </w:pPr>
    <w:rPr>
      <w:sz w:val="28"/>
    </w:rPr>
  </w:style>
  <w:style w:type="paragraph" w:styleId="42">
    <w:name w:val="footnote text"/>
    <w:basedOn w:val="1"/>
    <w:qFormat/>
    <w:uiPriority w:val="0"/>
    <w:pPr>
      <w:jc w:val="left"/>
    </w:pPr>
    <w:rPr>
      <w:sz w:val="18"/>
      <w:szCs w:val="18"/>
    </w:rPr>
  </w:style>
  <w:style w:type="paragraph" w:styleId="43">
    <w:name w:val="toc 6"/>
    <w:basedOn w:val="1"/>
    <w:next w:val="1"/>
    <w:qFormat/>
    <w:uiPriority w:val="0"/>
    <w:pPr>
      <w:ind w:left="2100" w:leftChars="1000"/>
    </w:pPr>
    <w:rPr>
      <w:rFonts w:ascii="Calibri" w:hAnsi="Calibri"/>
      <w:szCs w:val="22"/>
    </w:rPr>
  </w:style>
  <w:style w:type="paragraph" w:styleId="44">
    <w:name w:val="Body Text Indent 3"/>
    <w:basedOn w:val="1"/>
    <w:link w:val="119"/>
    <w:qFormat/>
    <w:uiPriority w:val="0"/>
    <w:pPr>
      <w:spacing w:after="120"/>
      <w:ind w:left="420" w:leftChars="200"/>
    </w:pPr>
    <w:rPr>
      <w:sz w:val="16"/>
      <w:szCs w:val="16"/>
    </w:rPr>
  </w:style>
  <w:style w:type="paragraph" w:styleId="45">
    <w:name w:val="toc 2"/>
    <w:basedOn w:val="1"/>
    <w:next w:val="1"/>
    <w:qFormat/>
    <w:uiPriority w:val="0"/>
    <w:pPr>
      <w:ind w:left="420" w:leftChars="200"/>
    </w:pPr>
  </w:style>
  <w:style w:type="paragraph" w:styleId="46">
    <w:name w:val="toc 9"/>
    <w:basedOn w:val="1"/>
    <w:next w:val="1"/>
    <w:qFormat/>
    <w:uiPriority w:val="0"/>
    <w:pPr>
      <w:ind w:left="3360" w:leftChars="1600"/>
    </w:pPr>
    <w:rPr>
      <w:rFonts w:ascii="Calibri" w:hAnsi="Calibri"/>
      <w:szCs w:val="22"/>
    </w:rPr>
  </w:style>
  <w:style w:type="paragraph" w:styleId="47">
    <w:name w:val="Body Text 2"/>
    <w:basedOn w:val="1"/>
    <w:link w:val="89"/>
    <w:qFormat/>
    <w:uiPriority w:val="0"/>
    <w:pPr>
      <w:spacing w:after="120" w:line="480" w:lineRule="auto"/>
    </w:pPr>
  </w:style>
  <w:style w:type="paragraph" w:styleId="4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Title"/>
    <w:basedOn w:val="1"/>
    <w:next w:val="1"/>
    <w:qFormat/>
    <w:uiPriority w:val="10"/>
    <w:pPr>
      <w:spacing w:before="240" w:after="60"/>
      <w:jc w:val="center"/>
      <w:outlineLvl w:val="0"/>
    </w:pPr>
    <w:rPr>
      <w:rFonts w:ascii="Cambria" w:hAnsi="Cambria"/>
      <w:b/>
      <w:bCs/>
      <w:sz w:val="32"/>
      <w:szCs w:val="32"/>
    </w:rPr>
  </w:style>
  <w:style w:type="paragraph" w:styleId="51">
    <w:name w:val="annotation subject"/>
    <w:basedOn w:val="20"/>
    <w:next w:val="20"/>
    <w:qFormat/>
    <w:uiPriority w:val="0"/>
    <w:rPr>
      <w:b/>
      <w:bCs/>
    </w:rPr>
  </w:style>
  <w:style w:type="paragraph" w:styleId="52">
    <w:name w:val="Body Text First Indent"/>
    <w:basedOn w:val="22"/>
    <w:next w:val="1"/>
    <w:link w:val="202"/>
    <w:qFormat/>
    <w:uiPriority w:val="0"/>
    <w:pPr>
      <w:ind w:firstLine="420" w:firstLineChars="100"/>
    </w:pPr>
    <w:rPr>
      <w:rFonts w:ascii="宋体" w:hAnsi="Courier New"/>
      <w:kern w:val="0"/>
      <w:sz w:val="20"/>
      <w:szCs w:val="21"/>
    </w:rPr>
  </w:style>
  <w:style w:type="paragraph" w:styleId="53">
    <w:name w:val="Body Text First Indent 2"/>
    <w:basedOn w:val="23"/>
    <w:next w:val="1"/>
    <w:qFormat/>
    <w:uiPriority w:val="0"/>
    <w:pPr>
      <w:widowControl/>
      <w:spacing w:line="360" w:lineRule="auto"/>
      <w:ind w:left="-358" w:leftChars="-128" w:firstLine="560" w:firstLineChars="200"/>
      <w:jc w:val="left"/>
    </w:pPr>
    <w:rPr>
      <w:rFonts w:ascii="Times New Roman"/>
      <w:sz w:val="28"/>
    </w:r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qFormat/>
    <w:uiPriority w:val="0"/>
    <w:rPr>
      <w:rFonts w:ascii="Tahoma" w:hAnsi="Tahoma" w:eastAsia="宋体" w:cs="Times New Roman"/>
      <w:b/>
      <w:bCs/>
      <w:spacing w:val="10"/>
      <w:kern w:val="2"/>
      <w:sz w:val="24"/>
      <w:szCs w:val="24"/>
      <w:lang w:val="en-US" w:eastAsia="zh-CN" w:bidi="ar-SA"/>
    </w:rPr>
  </w:style>
  <w:style w:type="character" w:styleId="58">
    <w:name w:val="page number"/>
    <w:qFormat/>
    <w:uiPriority w:val="0"/>
    <w:rPr>
      <w:rFonts w:ascii="Times New Roman" w:hAnsi="Times New Roman" w:eastAsia="宋体" w:cs="Times New Roman"/>
    </w:rPr>
  </w:style>
  <w:style w:type="character" w:styleId="59">
    <w:name w:val="FollowedHyperlink"/>
    <w:qFormat/>
    <w:uiPriority w:val="0"/>
    <w:rPr>
      <w:rFonts w:ascii="Times New Roman" w:hAnsi="Times New Roman" w:eastAsia="宋体" w:cs="Times New Roman"/>
      <w:color w:val="333333"/>
      <w:u w:val="none"/>
    </w:rPr>
  </w:style>
  <w:style w:type="character" w:styleId="60">
    <w:name w:val="Emphasis"/>
    <w:qFormat/>
    <w:uiPriority w:val="0"/>
    <w:rPr>
      <w:rFonts w:ascii="Times New Roman" w:hAnsi="Times New Roman" w:eastAsia="宋体" w:cs="Times New Roman"/>
    </w:rPr>
  </w:style>
  <w:style w:type="character" w:styleId="61">
    <w:name w:val="HTML Definition"/>
    <w:qFormat/>
    <w:uiPriority w:val="0"/>
    <w:rPr>
      <w:rFonts w:ascii="Times New Roman" w:hAnsi="Times New Roman" w:eastAsia="宋体" w:cs="Times New Roman"/>
    </w:rPr>
  </w:style>
  <w:style w:type="character" w:styleId="62">
    <w:name w:val="HTML Acronym"/>
    <w:qFormat/>
    <w:uiPriority w:val="0"/>
    <w:rPr>
      <w:rFonts w:ascii="Times New Roman" w:hAnsi="Times New Roman" w:eastAsia="宋体" w:cs="Times New Roman"/>
    </w:rPr>
  </w:style>
  <w:style w:type="character" w:styleId="63">
    <w:name w:val="HTML Variable"/>
    <w:qFormat/>
    <w:uiPriority w:val="0"/>
    <w:rPr>
      <w:rFonts w:ascii="Times New Roman" w:hAnsi="Times New Roman" w:eastAsia="宋体" w:cs="Times New Roman"/>
    </w:rPr>
  </w:style>
  <w:style w:type="character" w:styleId="64">
    <w:name w:val="Hyperlink"/>
    <w:qFormat/>
    <w:uiPriority w:val="0"/>
    <w:rPr>
      <w:rFonts w:ascii="Times New Roman" w:hAnsi="Times New Roman" w:eastAsia="宋体" w:cs="Times New Roman"/>
      <w:color w:val="333333"/>
      <w:u w:val="none"/>
    </w:rPr>
  </w:style>
  <w:style w:type="character" w:styleId="65">
    <w:name w:val="HTML Code"/>
    <w:qFormat/>
    <w:uiPriority w:val="0"/>
    <w:rPr>
      <w:rFonts w:ascii="Courier New" w:hAnsi="Courier New" w:eastAsia="宋体" w:cs="Times New Roman"/>
      <w:color w:val="505050"/>
      <w:sz w:val="24"/>
      <w:szCs w:val="24"/>
    </w:rPr>
  </w:style>
  <w:style w:type="character" w:styleId="66">
    <w:name w:val="annotation reference"/>
    <w:qFormat/>
    <w:uiPriority w:val="0"/>
    <w:rPr>
      <w:rFonts w:ascii="Times New Roman" w:hAnsi="Times New Roman" w:eastAsia="宋体" w:cs="Times New Roman"/>
      <w:sz w:val="21"/>
      <w:szCs w:val="21"/>
    </w:rPr>
  </w:style>
  <w:style w:type="character" w:styleId="67">
    <w:name w:val="HTML Cite"/>
    <w:qFormat/>
    <w:uiPriority w:val="0"/>
    <w:rPr>
      <w:rFonts w:ascii="Times New Roman" w:hAnsi="Times New Roman" w:eastAsia="宋体" w:cs="Times New Roman"/>
    </w:rPr>
  </w:style>
  <w:style w:type="character" w:styleId="68">
    <w:name w:val="HTML Keyboard"/>
    <w:qFormat/>
    <w:uiPriority w:val="0"/>
    <w:rPr>
      <w:rFonts w:ascii="Consolas" w:hAnsi="Consolas" w:eastAsia="Consolas" w:cs="Consolas"/>
      <w:sz w:val="21"/>
      <w:szCs w:val="21"/>
    </w:rPr>
  </w:style>
  <w:style w:type="character" w:styleId="69">
    <w:name w:val="HTML Sample"/>
    <w:qFormat/>
    <w:uiPriority w:val="0"/>
    <w:rPr>
      <w:rFonts w:ascii="Consolas" w:hAnsi="Consolas" w:eastAsia="Consolas" w:cs="Consolas"/>
      <w:sz w:val="21"/>
      <w:szCs w:val="21"/>
    </w:rPr>
  </w:style>
  <w:style w:type="paragraph" w:customStyle="1" w:styleId="70">
    <w:name w:val="Char"/>
    <w:basedOn w:val="1"/>
    <w:qFormat/>
    <w:uiPriority w:val="0"/>
    <w:pPr>
      <w:widowControl/>
      <w:spacing w:after="160" w:line="240" w:lineRule="exact"/>
      <w:jc w:val="left"/>
    </w:pPr>
    <w:rPr>
      <w:rFonts w:ascii="Verdana" w:hAnsi="Verdana"/>
      <w:kern w:val="0"/>
      <w:szCs w:val="20"/>
      <w:lang w:eastAsia="en-US"/>
    </w:rPr>
  </w:style>
  <w:style w:type="character" w:customStyle="1" w:styleId="71">
    <w:name w:val="today"/>
    <w:qFormat/>
    <w:uiPriority w:val="0"/>
    <w:rPr>
      <w:rFonts w:ascii="Times New Roman" w:hAnsi="Times New Roman" w:eastAsia="宋体" w:cs="Times New Roman"/>
      <w:color w:val="606060"/>
      <w:shd w:val="clear" w:color="auto" w:fill="F5F6FA"/>
    </w:rPr>
  </w:style>
  <w:style w:type="paragraph" w:customStyle="1" w:styleId="72">
    <w:name w:val="标题3（投标须知）"/>
    <w:basedOn w:val="73"/>
    <w:next w:val="74"/>
    <w:qFormat/>
    <w:uiPriority w:val="0"/>
    <w:pPr>
      <w:spacing w:line="240" w:lineRule="auto"/>
      <w:jc w:val="center"/>
    </w:pPr>
    <w:rPr>
      <w:bCs/>
      <w:sz w:val="30"/>
    </w:rPr>
  </w:style>
  <w:style w:type="paragraph" w:customStyle="1" w:styleId="73">
    <w:name w:val="标题3"/>
    <w:basedOn w:val="5"/>
    <w:next w:val="1"/>
    <w:qFormat/>
    <w:uiPriority w:val="0"/>
    <w:pPr>
      <w:spacing w:before="200" w:after="200" w:line="360" w:lineRule="auto"/>
    </w:pPr>
    <w:rPr>
      <w:rFonts w:ascii="黑体" w:hAnsi="黑体" w:eastAsia="黑体"/>
      <w:bCs w:val="0"/>
      <w:sz w:val="24"/>
      <w:szCs w:val="24"/>
    </w:rPr>
  </w:style>
  <w:style w:type="paragraph" w:customStyle="1" w:styleId="74">
    <w:name w:val="标题4"/>
    <w:basedOn w:val="1"/>
    <w:next w:val="1"/>
    <w:qFormat/>
    <w:uiPriority w:val="0"/>
    <w:pPr>
      <w:ind w:firstLine="176" w:firstLineChars="176"/>
      <w:outlineLvl w:val="3"/>
    </w:pPr>
    <w:rPr>
      <w:rFonts w:ascii="黑体" w:hAnsi="黑体" w:eastAsia="黑体"/>
      <w:b/>
      <w:bCs/>
      <w:sz w:val="24"/>
    </w:rPr>
  </w:style>
  <w:style w:type="character" w:customStyle="1" w:styleId="75">
    <w:name w:val="批注文字 Char"/>
    <w:link w:val="20"/>
    <w:qFormat/>
    <w:uiPriority w:val="0"/>
    <w:rPr>
      <w:rFonts w:ascii="Times New Roman" w:hAnsi="Times New Roman" w:eastAsia="宋体" w:cs="Times New Roman"/>
      <w:kern w:val="2"/>
      <w:sz w:val="21"/>
      <w:szCs w:val="24"/>
    </w:rPr>
  </w:style>
  <w:style w:type="character" w:customStyle="1" w:styleId="76">
    <w:name w:val="error1"/>
    <w:qFormat/>
    <w:uiPriority w:val="0"/>
    <w:rPr>
      <w:rFonts w:ascii="Times New Roman" w:hAnsi="Times New Roman" w:eastAsia="宋体" w:cs="Times New Roman"/>
      <w:color w:val="FF625C"/>
    </w:rPr>
  </w:style>
  <w:style w:type="character" w:customStyle="1" w:styleId="77">
    <w:name w:val="标题 3 Char"/>
    <w:link w:val="5"/>
    <w:qFormat/>
    <w:uiPriority w:val="0"/>
    <w:rPr>
      <w:rFonts w:ascii="Times New Roman" w:hAnsi="Times New Roman" w:eastAsia="宋体" w:cs="Times New Roman"/>
      <w:b/>
      <w:bCs/>
      <w:kern w:val="2"/>
      <w:sz w:val="32"/>
      <w:szCs w:val="32"/>
      <w:lang w:val="en-US" w:eastAsia="zh-CN" w:bidi="ar-SA"/>
    </w:rPr>
  </w:style>
  <w:style w:type="character" w:customStyle="1" w:styleId="78">
    <w:name w:val="无缩进 Char"/>
    <w:qFormat/>
    <w:uiPriority w:val="0"/>
    <w:rPr>
      <w:rFonts w:ascii="Times New Roman" w:hAnsi="Times New Roman" w:eastAsia="宋体" w:cs="Times New Roman"/>
      <w:kern w:val="2"/>
      <w:sz w:val="21"/>
      <w:szCs w:val="20"/>
    </w:rPr>
  </w:style>
  <w:style w:type="character" w:customStyle="1" w:styleId="79">
    <w:name w:val="sh141"/>
    <w:qFormat/>
    <w:uiPriority w:val="0"/>
    <w:rPr>
      <w:rFonts w:ascii="Times New Roman" w:hAnsi="Times New Roman" w:eastAsia="宋体" w:cs="Times New Roman"/>
      <w:color w:val="2B2B2B"/>
      <w:sz w:val="21"/>
      <w:szCs w:val="21"/>
    </w:rPr>
  </w:style>
  <w:style w:type="paragraph" w:customStyle="1" w:styleId="80">
    <w:name w:val="列出段落2"/>
    <w:basedOn w:val="1"/>
    <w:qFormat/>
    <w:uiPriority w:val="0"/>
    <w:pPr>
      <w:ind w:firstLine="420" w:firstLineChars="200"/>
    </w:pPr>
    <w:rPr>
      <w:rFonts w:ascii="Calibri" w:hAnsi="Calibri"/>
      <w:szCs w:val="22"/>
    </w:rPr>
  </w:style>
  <w:style w:type="character" w:customStyle="1" w:styleId="81">
    <w:name w:val="last-child3"/>
    <w:qFormat/>
    <w:uiPriority w:val="0"/>
  </w:style>
  <w:style w:type="character" w:customStyle="1" w:styleId="82">
    <w:name w:val="Plain Text Char"/>
    <w:qFormat/>
    <w:uiPriority w:val="0"/>
    <w:rPr>
      <w:rFonts w:ascii="宋体" w:hAnsi="Courier New" w:eastAsia="宋体" w:cs="宋体"/>
      <w:kern w:val="0"/>
      <w:sz w:val="20"/>
      <w:szCs w:val="20"/>
    </w:rPr>
  </w:style>
  <w:style w:type="character" w:customStyle="1" w:styleId="83">
    <w:name w:val="select"/>
    <w:qFormat/>
    <w:uiPriority w:val="0"/>
    <w:rPr>
      <w:rFonts w:ascii="Times New Roman" w:hAnsi="Times New Roman" w:eastAsia="宋体" w:cs="Times New Roman"/>
      <w:color w:val="FFFFFF"/>
      <w:shd w:val="clear" w:color="auto" w:fill="3595F8"/>
    </w:rPr>
  </w:style>
  <w:style w:type="character" w:customStyle="1" w:styleId="84">
    <w:name w:val="supplier-tips"/>
    <w:qFormat/>
    <w:uiPriority w:val="0"/>
    <w:rPr>
      <w:rFonts w:ascii="Times New Roman" w:hAnsi="Times New Roman" w:eastAsia="宋体" w:cs="Times New Roman"/>
      <w:color w:val="FE0322"/>
    </w:rPr>
  </w:style>
  <w:style w:type="character" w:customStyle="1" w:styleId="85">
    <w:name w:val="Char Char14"/>
    <w:qFormat/>
    <w:uiPriority w:val="0"/>
    <w:rPr>
      <w:rFonts w:ascii="Cambria" w:hAnsi="Cambria" w:eastAsia="宋体" w:cs="Times New Roman"/>
      <w:sz w:val="21"/>
      <w:szCs w:val="21"/>
    </w:rPr>
  </w:style>
  <w:style w:type="character" w:customStyle="1" w:styleId="86">
    <w:name w:val="icon_bj6"/>
    <w:qFormat/>
    <w:uiPriority w:val="0"/>
    <w:rPr>
      <w:rFonts w:ascii="Times New Roman" w:hAnsi="Times New Roman" w:eastAsia="宋体" w:cs="Times New Roman"/>
      <w:color w:val="FFFFFF"/>
      <w:sz w:val="18"/>
      <w:szCs w:val="18"/>
      <w:shd w:val="clear" w:color="auto" w:fill="4A90E2"/>
    </w:rPr>
  </w:style>
  <w:style w:type="character" w:customStyle="1" w:styleId="87">
    <w:name w:val="all-fit-info1"/>
    <w:qFormat/>
    <w:uiPriority w:val="0"/>
    <w:rPr>
      <w:rFonts w:ascii="Times New Roman" w:hAnsi="Times New Roman" w:eastAsia="宋体" w:cs="Times New Roman"/>
      <w:color w:val="939393"/>
    </w:rPr>
  </w:style>
  <w:style w:type="character" w:customStyle="1" w:styleId="88">
    <w:name w:val="ant-tree-icon_loading"/>
    <w:qFormat/>
    <w:uiPriority w:val="0"/>
    <w:rPr>
      <w:rFonts w:ascii="Times New Roman" w:hAnsi="Times New Roman" w:eastAsia="宋体" w:cs="Times New Roman"/>
      <w:shd w:val="clear" w:color="auto" w:fill="FFFFFF"/>
    </w:rPr>
  </w:style>
  <w:style w:type="character" w:customStyle="1" w:styleId="89">
    <w:name w:val="正文文本 2 Char"/>
    <w:link w:val="47"/>
    <w:qFormat/>
    <w:uiPriority w:val="0"/>
    <w:rPr>
      <w:rFonts w:ascii="Times New Roman" w:hAnsi="Times New Roman" w:eastAsia="宋体" w:cs="Times New Roman"/>
      <w:kern w:val="2"/>
      <w:sz w:val="21"/>
      <w:szCs w:val="24"/>
      <w:lang w:val="en-US" w:eastAsia="zh-CN" w:bidi="ar-SA"/>
    </w:rPr>
  </w:style>
  <w:style w:type="paragraph" w:customStyle="1" w:styleId="90">
    <w:name w:val="Heading 1_0"/>
    <w:basedOn w:val="7"/>
    <w:next w:val="7"/>
    <w:qFormat/>
    <w:uiPriority w:val="0"/>
    <w:pPr>
      <w:keepNext/>
      <w:keepLines/>
      <w:spacing w:line="360" w:lineRule="auto"/>
      <w:outlineLvl w:val="0"/>
    </w:pPr>
    <w:rPr>
      <w:rFonts w:eastAsia="黑体"/>
      <w:b/>
      <w:bCs/>
      <w:kern w:val="44"/>
      <w:sz w:val="32"/>
      <w:szCs w:val="44"/>
    </w:rPr>
  </w:style>
  <w:style w:type="paragraph" w:customStyle="1" w:styleId="91">
    <w:name w:val="LY-正文"/>
    <w:basedOn w:val="1"/>
    <w:link w:val="118"/>
    <w:qFormat/>
    <w:uiPriority w:val="0"/>
    <w:rPr>
      <w:kern w:val="0"/>
      <w:sz w:val="20"/>
      <w:szCs w:val="20"/>
    </w:rPr>
  </w:style>
  <w:style w:type="character" w:customStyle="1" w:styleId="92">
    <w:name w:val="all-fit-info2"/>
    <w:qFormat/>
    <w:uiPriority w:val="0"/>
    <w:rPr>
      <w:rFonts w:ascii="Times New Roman" w:hAnsi="Times New Roman" w:eastAsia="宋体" w:cs="Times New Roman"/>
      <w:color w:val="939393"/>
    </w:rPr>
  </w:style>
  <w:style w:type="character" w:customStyle="1" w:styleId="93">
    <w:name w:val="无间隔 Char"/>
    <w:link w:val="94"/>
    <w:qFormat/>
    <w:uiPriority w:val="0"/>
    <w:rPr>
      <w:rFonts w:eastAsia="Times New Roman"/>
      <w:sz w:val="22"/>
      <w:szCs w:val="22"/>
      <w:lang w:val="en-US" w:eastAsia="zh-CN" w:bidi="ar-SA"/>
    </w:rPr>
  </w:style>
  <w:style w:type="paragraph" w:styleId="94">
    <w:name w:val="No Spacing"/>
    <w:link w:val="93"/>
    <w:qFormat/>
    <w:uiPriority w:val="0"/>
    <w:rPr>
      <w:rFonts w:ascii="Times New Roman" w:hAnsi="Times New Roman" w:eastAsia="Times New Roman" w:cs="Times New Roman"/>
      <w:sz w:val="22"/>
      <w:szCs w:val="22"/>
      <w:lang w:val="en-US" w:eastAsia="zh-CN" w:bidi="ar-SA"/>
    </w:rPr>
  </w:style>
  <w:style w:type="character" w:customStyle="1" w:styleId="95">
    <w:name w:val="Char Char13"/>
    <w:qFormat/>
    <w:uiPriority w:val="0"/>
    <w:rPr>
      <w:rFonts w:ascii="Times New Roman" w:hAnsi="Times New Roman" w:eastAsia="宋体" w:cs="Times New Roman"/>
      <w:kern w:val="2"/>
      <w:sz w:val="18"/>
      <w:szCs w:val="18"/>
    </w:rPr>
  </w:style>
  <w:style w:type="character" w:customStyle="1" w:styleId="96">
    <w:name w:val="last-child1"/>
    <w:qFormat/>
    <w:uiPriority w:val="0"/>
  </w:style>
  <w:style w:type="character" w:customStyle="1" w:styleId="97">
    <w:name w:val="mistake"/>
    <w:qFormat/>
    <w:uiPriority w:val="0"/>
    <w:rPr>
      <w:rFonts w:ascii="Times New Roman" w:hAnsi="Times New Roman" w:eastAsia="宋体" w:cs="Times New Roman"/>
      <w:color w:val="CCCCCC"/>
      <w:sz w:val="24"/>
      <w:szCs w:val="24"/>
    </w:rPr>
  </w:style>
  <w:style w:type="character" w:customStyle="1" w:styleId="98">
    <w:name w:val="content"/>
    <w:qFormat/>
    <w:uiPriority w:val="0"/>
  </w:style>
  <w:style w:type="character" w:customStyle="1" w:styleId="99">
    <w:name w:val="Char Char12"/>
    <w:qFormat/>
    <w:uiPriority w:val="0"/>
    <w:rPr>
      <w:rFonts w:ascii="Times New Roman" w:hAnsi="Times New Roman" w:eastAsia="宋体" w:cs="Times New Roman"/>
      <w:kern w:val="2"/>
      <w:sz w:val="18"/>
      <w:szCs w:val="18"/>
    </w:rPr>
  </w:style>
  <w:style w:type="character" w:customStyle="1" w:styleId="100">
    <w:name w:val="日期 Char"/>
    <w:link w:val="30"/>
    <w:qFormat/>
    <w:uiPriority w:val="0"/>
    <w:rPr>
      <w:rFonts w:ascii="Times New Roman" w:hAnsi="Times New Roman" w:eastAsia="宋体" w:cs="Times New Roman"/>
      <w:kern w:val="2"/>
      <w:sz w:val="21"/>
      <w:szCs w:val="24"/>
    </w:rPr>
  </w:style>
  <w:style w:type="paragraph" w:customStyle="1" w:styleId="101">
    <w:name w:val="正文段"/>
    <w:basedOn w:val="1"/>
    <w:qFormat/>
    <w:uiPriority w:val="0"/>
    <w:pPr>
      <w:widowControl/>
      <w:ind w:firstLine="200" w:firstLineChars="200"/>
    </w:pPr>
    <w:rPr>
      <w:kern w:val="0"/>
      <w:sz w:val="24"/>
      <w:szCs w:val="20"/>
    </w:rPr>
  </w:style>
  <w:style w:type="paragraph" w:customStyle="1" w:styleId="102">
    <w:name w:val="TOC 标题1"/>
    <w:basedOn w:val="2"/>
    <w:next w:val="1"/>
    <w:qFormat/>
    <w:uiPriority w:val="0"/>
    <w:pPr>
      <w:widowControl/>
      <w:numPr>
        <w:ilvl w:val="0"/>
        <w:numId w:val="3"/>
      </w:numPr>
      <w:tabs>
        <w:tab w:val="clear" w:pos="420"/>
      </w:tabs>
      <w:spacing w:before="480" w:line="276" w:lineRule="auto"/>
      <w:jc w:val="left"/>
      <w:outlineLvl w:val="9"/>
    </w:pPr>
    <w:rPr>
      <w:rFonts w:ascii="Cambria" w:hAnsi="Cambria" w:eastAsia="宋体"/>
      <w:color w:val="365F91"/>
      <w:kern w:val="0"/>
      <w:sz w:val="28"/>
      <w:szCs w:val="28"/>
    </w:rPr>
  </w:style>
  <w:style w:type="paragraph" w:customStyle="1" w:styleId="103">
    <w:name w:val="Char Char2 Char Char Char Char Char"/>
    <w:basedOn w:val="1"/>
    <w:qFormat/>
    <w:uiPriority w:val="0"/>
    <w:pPr>
      <w:numPr>
        <w:ilvl w:val="0"/>
        <w:numId w:val="4"/>
      </w:numPr>
      <w:tabs>
        <w:tab w:val="clear" w:pos="780"/>
      </w:tabs>
    </w:pPr>
    <w:rPr>
      <w:sz w:val="24"/>
    </w:rPr>
  </w:style>
  <w:style w:type="character" w:customStyle="1" w:styleId="104">
    <w:name w:val="first-child2"/>
    <w:qFormat/>
    <w:uiPriority w:val="0"/>
  </w:style>
  <w:style w:type="character" w:customStyle="1" w:styleId="105">
    <w:name w:val="heighthight1"/>
    <w:qFormat/>
    <w:uiPriority w:val="0"/>
    <w:rPr>
      <w:rFonts w:ascii="Times New Roman" w:hAnsi="Times New Roman" w:eastAsia="宋体" w:cs="Times New Roman"/>
      <w:color w:val="FAAE14"/>
    </w:rPr>
  </w:style>
  <w:style w:type="character" w:customStyle="1" w:styleId="106">
    <w:name w:val="正文小标题 Char Char"/>
    <w:qFormat/>
    <w:uiPriority w:val="0"/>
    <w:rPr>
      <w:rFonts w:ascii="仿宋_GB2312" w:hAnsi="Times New Roman" w:eastAsia="仿宋_GB2312" w:cs="Times New Roman"/>
      <w:kern w:val="2"/>
      <w:sz w:val="32"/>
      <w:szCs w:val="20"/>
    </w:rPr>
  </w:style>
  <w:style w:type="character" w:customStyle="1" w:styleId="107">
    <w:name w:val="gotoset5"/>
    <w:qFormat/>
    <w:uiPriority w:val="0"/>
    <w:rPr>
      <w:rFonts w:ascii="Times New Roman" w:hAnsi="Times New Roman" w:eastAsia="宋体" w:cs="Times New Roman"/>
      <w:color w:val="999999"/>
    </w:rPr>
  </w:style>
  <w:style w:type="character" w:customStyle="1" w:styleId="108">
    <w:name w:val="正文文本 3 Char"/>
    <w:link w:val="21"/>
    <w:qFormat/>
    <w:uiPriority w:val="0"/>
    <w:rPr>
      <w:rFonts w:ascii="Times New Roman" w:hAnsi="Times New Roman" w:eastAsia="宋体" w:cs="Times New Roman"/>
      <w:b/>
      <w:bCs/>
      <w:kern w:val="2"/>
      <w:sz w:val="24"/>
      <w:szCs w:val="24"/>
      <w:lang w:val="en-US" w:eastAsia="zh-CN" w:bidi="ar-SA"/>
    </w:rPr>
  </w:style>
  <w:style w:type="character" w:customStyle="1" w:styleId="109">
    <w:name w:val="tuih11"/>
    <w:qFormat/>
    <w:uiPriority w:val="0"/>
    <w:rPr>
      <w:bdr w:val="single" w:color="000000" w:sz="6" w:space="0"/>
    </w:rPr>
  </w:style>
  <w:style w:type="character" w:customStyle="1" w:styleId="110">
    <w:name w:val="gotoset3"/>
    <w:qFormat/>
    <w:uiPriority w:val="0"/>
    <w:rPr>
      <w:rFonts w:ascii="Times New Roman" w:hAnsi="Times New Roman" w:eastAsia="宋体" w:cs="Times New Roman"/>
      <w:color w:val="999999"/>
    </w:rPr>
  </w:style>
  <w:style w:type="character" w:customStyle="1" w:styleId="111">
    <w:name w:val="Char Char18"/>
    <w:qFormat/>
    <w:uiPriority w:val="0"/>
    <w:rPr>
      <w:rFonts w:ascii="Calibri" w:hAnsi="Calibri" w:eastAsia="宋体" w:cs="Times New Roman"/>
      <w:b/>
      <w:bCs/>
      <w:sz w:val="28"/>
      <w:szCs w:val="28"/>
    </w:rPr>
  </w:style>
  <w:style w:type="paragraph" w:customStyle="1" w:styleId="112">
    <w:name w:val="List Paragraph1"/>
    <w:basedOn w:val="1"/>
    <w:qFormat/>
    <w:uiPriority w:val="0"/>
    <w:pPr>
      <w:widowControl/>
      <w:spacing w:after="200" w:line="276" w:lineRule="auto"/>
      <w:ind w:left="720"/>
      <w:jc w:val="left"/>
    </w:pPr>
    <w:rPr>
      <w:rFonts w:ascii="Calibri" w:hAnsi="Calibri"/>
      <w:kern w:val="0"/>
      <w:sz w:val="22"/>
      <w:szCs w:val="22"/>
    </w:rPr>
  </w:style>
  <w:style w:type="character" w:customStyle="1" w:styleId="113">
    <w:name w:val="error"/>
    <w:qFormat/>
    <w:uiPriority w:val="0"/>
    <w:rPr>
      <w:rFonts w:ascii="Times New Roman" w:hAnsi="Times New Roman" w:eastAsia="宋体" w:cs="Times New Roman"/>
      <w:color w:val="FF625C"/>
    </w:rPr>
  </w:style>
  <w:style w:type="character" w:customStyle="1" w:styleId="114">
    <w:name w:val="caret"/>
    <w:qFormat/>
    <w:uiPriority w:val="0"/>
    <w:rPr>
      <w:rFonts w:ascii="Times New Roman" w:hAnsi="Times New Roman" w:eastAsia="宋体" w:cs="Times New Roman"/>
    </w:rPr>
  </w:style>
  <w:style w:type="character" w:customStyle="1" w:styleId="115">
    <w:name w:val="icon_bj5"/>
    <w:qFormat/>
    <w:uiPriority w:val="0"/>
    <w:rPr>
      <w:rFonts w:ascii="Times New Roman" w:hAnsi="Times New Roman" w:eastAsia="宋体" w:cs="Times New Roman"/>
      <w:color w:val="FFFFFF"/>
      <w:sz w:val="18"/>
      <w:szCs w:val="18"/>
      <w:shd w:val="clear" w:color="auto" w:fill="4A90E2"/>
    </w:rPr>
  </w:style>
  <w:style w:type="character" w:customStyle="1" w:styleId="116">
    <w:name w:val="tuih3"/>
    <w:qFormat/>
    <w:uiPriority w:val="0"/>
    <w:rPr>
      <w:bdr w:val="single" w:color="000000" w:sz="6" w:space="0"/>
    </w:rPr>
  </w:style>
  <w:style w:type="paragraph" w:customStyle="1" w:styleId="117">
    <w:name w:val="xl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kern w:val="0"/>
      <w:szCs w:val="21"/>
    </w:rPr>
  </w:style>
  <w:style w:type="character" w:customStyle="1" w:styleId="118">
    <w:name w:val="LY-正文 Char"/>
    <w:link w:val="91"/>
    <w:qFormat/>
    <w:uiPriority w:val="0"/>
    <w:rPr>
      <w:rFonts w:ascii="Times New Roman" w:hAnsi="Times New Roman" w:eastAsia="宋体" w:cs="Times New Roman"/>
    </w:rPr>
  </w:style>
  <w:style w:type="character" w:customStyle="1" w:styleId="119">
    <w:name w:val="正文文本缩进 3 Char"/>
    <w:link w:val="44"/>
    <w:qFormat/>
    <w:uiPriority w:val="0"/>
    <w:rPr>
      <w:rFonts w:ascii="Times New Roman" w:hAnsi="Times New Roman" w:eastAsia="宋体" w:cs="Times New Roman"/>
      <w:kern w:val="2"/>
      <w:sz w:val="16"/>
      <w:szCs w:val="16"/>
      <w:lang w:val="en-US" w:eastAsia="zh-CN" w:bidi="ar-SA"/>
    </w:rPr>
  </w:style>
  <w:style w:type="character" w:customStyle="1" w:styleId="120">
    <w:name w:val="gotoset4"/>
    <w:qFormat/>
    <w:uiPriority w:val="0"/>
    <w:rPr>
      <w:rFonts w:ascii="Times New Roman" w:hAnsi="Times New Roman" w:eastAsia="宋体" w:cs="Times New Roman"/>
      <w:color w:val="999999"/>
    </w:rPr>
  </w:style>
  <w:style w:type="character" w:customStyle="1" w:styleId="121">
    <w:name w:val="current9"/>
    <w:qFormat/>
    <w:uiPriority w:val="0"/>
    <w:rPr>
      <w:rFonts w:ascii="Times New Roman" w:hAnsi="Times New Roman" w:eastAsia="宋体" w:cs="Times New Roman"/>
      <w:color w:val="FFFFFF"/>
      <w:shd w:val="clear" w:color="auto" w:fill="5BA0FF"/>
    </w:rPr>
  </w:style>
  <w:style w:type="character" w:customStyle="1" w:styleId="122">
    <w:name w:val="ant-select-tree-checkbox"/>
    <w:qFormat/>
    <w:uiPriority w:val="0"/>
  </w:style>
  <w:style w:type="paragraph" w:styleId="123">
    <w:name w:val="List Paragraph"/>
    <w:basedOn w:val="1"/>
    <w:link w:val="238"/>
    <w:qFormat/>
    <w:uiPriority w:val="0"/>
    <w:pPr>
      <w:ind w:firstLine="420" w:firstLineChars="200"/>
    </w:pPr>
  </w:style>
  <w:style w:type="paragraph" w:customStyle="1" w:styleId="124">
    <w:name w:val="样式"/>
    <w:qFormat/>
    <w:uiPriority w:val="0"/>
    <w:pPr>
      <w:widowControl w:val="0"/>
      <w:autoSpaceDE w:val="0"/>
      <w:autoSpaceDN w:val="0"/>
    </w:pPr>
    <w:rPr>
      <w:rFonts w:ascii="宋体" w:hAnsi="宋体" w:eastAsia="宋体" w:cs="宋体"/>
      <w:sz w:val="24"/>
      <w:szCs w:val="24"/>
      <w:lang w:val="en-US" w:eastAsia="zh-CN" w:bidi="ar-SA"/>
    </w:rPr>
  </w:style>
  <w:style w:type="character" w:customStyle="1" w:styleId="125">
    <w:name w:val="Char Char17"/>
    <w:qFormat/>
    <w:uiPriority w:val="0"/>
    <w:rPr>
      <w:rFonts w:ascii="Calibri" w:hAnsi="Calibri" w:eastAsia="宋体" w:cs="Times New Roman"/>
      <w:b/>
      <w:bCs/>
      <w:kern w:val="2"/>
      <w:sz w:val="32"/>
      <w:szCs w:val="32"/>
      <w:lang w:val="en-US" w:eastAsia="zh-CN" w:bidi="ar-SA"/>
    </w:rPr>
  </w:style>
  <w:style w:type="character" w:customStyle="1" w:styleId="126">
    <w:name w:val="ant-tree-switcher"/>
    <w:qFormat/>
    <w:uiPriority w:val="0"/>
  </w:style>
  <w:style w:type="paragraph" w:customStyle="1" w:styleId="127">
    <w:name w:val="普通 (Web)"/>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128">
    <w:name w:val="textcontents"/>
    <w:qFormat/>
    <w:uiPriority w:val="0"/>
    <w:rPr>
      <w:rFonts w:ascii="Times New Roman" w:hAnsi="Times New Roman" w:eastAsia="宋体" w:cs="Times New Roman"/>
    </w:rPr>
  </w:style>
  <w:style w:type="character" w:customStyle="1" w:styleId="129">
    <w:name w:val="tuih6"/>
    <w:qFormat/>
    <w:uiPriority w:val="0"/>
    <w:rPr>
      <w:bdr w:val="single" w:color="000000" w:sz="6" w:space="0"/>
    </w:rPr>
  </w:style>
  <w:style w:type="character" w:customStyle="1" w:styleId="130">
    <w:name w:val="last-child2"/>
    <w:qFormat/>
    <w:uiPriority w:val="0"/>
    <w:rPr>
      <w:rFonts w:ascii="Times New Roman" w:hAnsi="Times New Roman" w:eastAsia="宋体" w:cs="Times New Roman"/>
    </w:rPr>
  </w:style>
  <w:style w:type="character" w:customStyle="1" w:styleId="131">
    <w:name w:val="info-label"/>
    <w:qFormat/>
    <w:uiPriority w:val="0"/>
    <w:rPr>
      <w:rFonts w:ascii="Times New Roman" w:hAnsi="Times New Roman" w:eastAsia="宋体" w:cs="Times New Roman"/>
      <w:b/>
    </w:rPr>
  </w:style>
  <w:style w:type="character" w:customStyle="1" w:styleId="132">
    <w:name w:val="selected"/>
    <w:qFormat/>
    <w:uiPriority w:val="0"/>
    <w:rPr>
      <w:bdr w:val="single" w:color="000000" w:sz="6" w:space="0"/>
    </w:rPr>
  </w:style>
  <w:style w:type="character" w:customStyle="1" w:styleId="133">
    <w:name w:val="icon_bj"/>
    <w:qFormat/>
    <w:uiPriority w:val="0"/>
    <w:rPr>
      <w:rFonts w:ascii="Times New Roman" w:hAnsi="Times New Roman" w:eastAsia="宋体" w:cs="Times New Roman"/>
      <w:color w:val="FFFFFF"/>
      <w:sz w:val="18"/>
      <w:szCs w:val="18"/>
      <w:shd w:val="clear" w:color="auto" w:fill="4A90E2"/>
    </w:rPr>
  </w:style>
  <w:style w:type="paragraph" w:customStyle="1" w:styleId="134">
    <w:name w:val="默认段落字体 Para Char"/>
    <w:basedOn w:val="1"/>
    <w:qFormat/>
    <w:uiPriority w:val="0"/>
    <w:rPr>
      <w:rFonts w:ascii="宋体" w:hAnsi="宋体"/>
      <w:b/>
      <w:sz w:val="28"/>
      <w:szCs w:val="28"/>
    </w:rPr>
  </w:style>
  <w:style w:type="character" w:customStyle="1" w:styleId="135">
    <w:name w:val="search"/>
    <w:qFormat/>
    <w:uiPriority w:val="0"/>
    <w:rPr>
      <w:rFonts w:ascii="Times New Roman" w:hAnsi="Times New Roman" w:eastAsia="宋体" w:cs="Times New Roman"/>
    </w:rPr>
  </w:style>
  <w:style w:type="character" w:customStyle="1" w:styleId="136">
    <w:name w:val="标题 2 Char1"/>
    <w:link w:val="4"/>
    <w:qFormat/>
    <w:uiPriority w:val="0"/>
    <w:rPr>
      <w:rFonts w:ascii="Cambria" w:hAnsi="Cambria" w:eastAsia="宋体" w:cs="Times New Roman"/>
      <w:b/>
      <w:bCs/>
      <w:kern w:val="2"/>
      <w:sz w:val="32"/>
      <w:szCs w:val="32"/>
    </w:rPr>
  </w:style>
  <w:style w:type="character" w:customStyle="1" w:styleId="137">
    <w:name w:val="icon_bj8"/>
    <w:qFormat/>
    <w:uiPriority w:val="0"/>
    <w:rPr>
      <w:rFonts w:ascii="Times New Roman" w:hAnsi="Times New Roman" w:eastAsia="宋体" w:cs="Times New Roman"/>
      <w:color w:val="FFFFFF"/>
      <w:sz w:val="18"/>
      <w:szCs w:val="18"/>
      <w:shd w:val="clear" w:color="auto" w:fill="4A90E2"/>
    </w:rPr>
  </w:style>
  <w:style w:type="character" w:customStyle="1" w:styleId="138">
    <w:name w:val="ant-select-tree-switcher"/>
    <w:qFormat/>
    <w:uiPriority w:val="0"/>
  </w:style>
  <w:style w:type="character" w:customStyle="1" w:styleId="139">
    <w:name w:val="redline"/>
    <w:qFormat/>
    <w:uiPriority w:val="0"/>
    <w:rPr>
      <w:rFonts w:ascii="Times New Roman" w:hAnsi="Times New Roman" w:eastAsia="宋体" w:cs="Times New Roman"/>
      <w:color w:val="FF0000"/>
    </w:rPr>
  </w:style>
  <w:style w:type="character" w:customStyle="1" w:styleId="140">
    <w:name w:val="tuih7"/>
    <w:qFormat/>
    <w:uiPriority w:val="0"/>
    <w:rPr>
      <w:bdr w:val="single" w:color="000000" w:sz="6" w:space="0"/>
    </w:rPr>
  </w:style>
  <w:style w:type="character" w:customStyle="1" w:styleId="141">
    <w:name w:val="tuih10"/>
    <w:qFormat/>
    <w:uiPriority w:val="0"/>
    <w:rPr>
      <w:bdr w:val="single" w:color="000000" w:sz="6" w:space="0"/>
    </w:rPr>
  </w:style>
  <w:style w:type="character" w:customStyle="1" w:styleId="142">
    <w:name w:val="short_text"/>
    <w:qFormat/>
    <w:uiPriority w:val="0"/>
    <w:rPr>
      <w:rFonts w:ascii="Times New Roman" w:hAnsi="Times New Roman" w:eastAsia="宋体" w:cs="Times New Roman"/>
      <w:kern w:val="2"/>
      <w:sz w:val="24"/>
      <w:szCs w:val="24"/>
      <w:lang w:val="en-US" w:eastAsia="zh-CN" w:bidi="ar-SA"/>
    </w:rPr>
  </w:style>
  <w:style w:type="character" w:customStyle="1" w:styleId="143">
    <w:name w:val="标题 6 Char"/>
    <w:link w:val="11"/>
    <w:qFormat/>
    <w:uiPriority w:val="0"/>
    <w:rPr>
      <w:rFonts w:ascii="Arial" w:hAnsi="Arial" w:eastAsia="黑体" w:cs="Times New Roman"/>
      <w:b/>
      <w:kern w:val="2"/>
      <w:sz w:val="24"/>
      <w:szCs w:val="24"/>
      <w:lang w:val="en-US" w:eastAsia="zh-CN" w:bidi="ar-SA"/>
    </w:rPr>
  </w:style>
  <w:style w:type="character" w:customStyle="1" w:styleId="144">
    <w:name w:val="selected1"/>
    <w:qFormat/>
    <w:uiPriority w:val="0"/>
    <w:rPr>
      <w:bdr w:val="single" w:color="000000" w:sz="6" w:space="0"/>
    </w:rPr>
  </w:style>
  <w:style w:type="character" w:customStyle="1" w:styleId="145">
    <w:name w:val="search1"/>
    <w:qFormat/>
    <w:uiPriority w:val="0"/>
    <w:rPr>
      <w:rFonts w:ascii="Times New Roman" w:hAnsi="Times New Roman" w:eastAsia="宋体" w:cs="Times New Roman"/>
    </w:rPr>
  </w:style>
  <w:style w:type="character" w:customStyle="1" w:styleId="146">
    <w:name w:val="skip"/>
    <w:qFormat/>
    <w:uiPriority w:val="0"/>
    <w:rPr>
      <w:rFonts w:ascii="Times New Roman" w:hAnsi="Times New Roman" w:eastAsia="宋体" w:cs="Times New Roman"/>
    </w:rPr>
  </w:style>
  <w:style w:type="character" w:customStyle="1" w:styleId="147">
    <w:name w:val="edui-clickable"/>
    <w:qFormat/>
    <w:uiPriority w:val="0"/>
    <w:rPr>
      <w:rFonts w:ascii="Times New Roman" w:hAnsi="Times New Roman" w:eastAsia="宋体" w:cs="Times New Roman"/>
      <w:color w:val="0000FF"/>
      <w:u w:val="single"/>
    </w:rPr>
  </w:style>
  <w:style w:type="character" w:customStyle="1" w:styleId="148">
    <w:name w:val="current5"/>
    <w:qFormat/>
    <w:uiPriority w:val="0"/>
    <w:rPr>
      <w:rFonts w:ascii="Times New Roman" w:hAnsi="Times New Roman" w:eastAsia="宋体" w:cs="Times New Roman"/>
      <w:color w:val="FFFFFF"/>
      <w:shd w:val="clear" w:color="auto" w:fill="5BA0FF"/>
    </w:rPr>
  </w:style>
  <w:style w:type="character" w:customStyle="1" w:styleId="149">
    <w:name w:val="普通文字 Char Char2"/>
    <w:qFormat/>
    <w:uiPriority w:val="0"/>
    <w:rPr>
      <w:rFonts w:ascii="宋体" w:hAnsi="Courier New" w:eastAsia="宋体" w:cs="Times New Roman"/>
      <w:kern w:val="2"/>
      <w:sz w:val="21"/>
      <w:lang w:val="en-US" w:eastAsia="zh-CN" w:bidi="ar-SA"/>
    </w:rPr>
  </w:style>
  <w:style w:type="character" w:customStyle="1" w:styleId="150">
    <w:name w:val="last-child4"/>
    <w:qFormat/>
    <w:uiPriority w:val="0"/>
  </w:style>
  <w:style w:type="character" w:customStyle="1" w:styleId="151">
    <w:name w:val="current7"/>
    <w:qFormat/>
    <w:uiPriority w:val="0"/>
    <w:rPr>
      <w:rFonts w:ascii="Times New Roman" w:hAnsi="Times New Roman" w:eastAsia="宋体" w:cs="Times New Roman"/>
      <w:color w:val="FFFFFF"/>
      <w:shd w:val="clear" w:color="auto" w:fill="5BA0FF"/>
    </w:rPr>
  </w:style>
  <w:style w:type="paragraph" w:customStyle="1" w:styleId="152">
    <w:name w:val="Char Char Char Char"/>
    <w:basedOn w:val="1"/>
    <w:qFormat/>
    <w:uiPriority w:val="0"/>
    <w:pPr>
      <w:tabs>
        <w:tab w:val="left" w:pos="780"/>
      </w:tabs>
      <w:ind w:left="780" w:hanging="360"/>
    </w:pPr>
    <w:rPr>
      <w:sz w:val="24"/>
    </w:rPr>
  </w:style>
  <w:style w:type="paragraph" w:customStyle="1" w:styleId="153">
    <w:name w:val="*正文"/>
    <w:basedOn w:val="1"/>
    <w:qFormat/>
    <w:uiPriority w:val="0"/>
    <w:pPr>
      <w:spacing w:before="240" w:after="60"/>
      <w:ind w:firstLine="200" w:firstLineChars="200"/>
    </w:pPr>
    <w:rPr>
      <w:rFonts w:cs="仿宋_GB2312"/>
      <w:position w:val="1"/>
      <w:sz w:val="24"/>
      <w:szCs w:val="28"/>
    </w:rPr>
  </w:style>
  <w:style w:type="character" w:customStyle="1" w:styleId="154">
    <w:name w:val="current4"/>
    <w:qFormat/>
    <w:uiPriority w:val="0"/>
    <w:rPr>
      <w:rFonts w:ascii="Times New Roman" w:hAnsi="Times New Roman" w:eastAsia="宋体" w:cs="Times New Roman"/>
      <w:color w:val="FFFFFF"/>
      <w:shd w:val="clear" w:color="auto" w:fill="5BA0FF"/>
    </w:rPr>
  </w:style>
  <w:style w:type="paragraph" w:customStyle="1" w:styleId="155">
    <w:name w:val="Char Char Char Char Char Char Char"/>
    <w:basedOn w:val="1"/>
    <w:qFormat/>
    <w:uiPriority w:val="0"/>
    <w:pPr>
      <w:tabs>
        <w:tab w:val="left" w:pos="425"/>
      </w:tabs>
      <w:ind w:left="425" w:hanging="425"/>
    </w:pPr>
    <w:rPr>
      <w:rFonts w:eastAsia="仿宋_GB2312"/>
      <w:kern w:val="24"/>
      <w:sz w:val="24"/>
    </w:rPr>
  </w:style>
  <w:style w:type="character" w:customStyle="1" w:styleId="156">
    <w:name w:val="页眉 Char"/>
    <w:link w:val="35"/>
    <w:qFormat/>
    <w:uiPriority w:val="0"/>
    <w:rPr>
      <w:rFonts w:ascii="Times New Roman" w:hAnsi="Times New Roman" w:eastAsia="宋体" w:cs="Times New Roman"/>
      <w:sz w:val="18"/>
      <w:szCs w:val="18"/>
    </w:rPr>
  </w:style>
  <w:style w:type="paragraph" w:customStyle="1" w:styleId="157">
    <w:name w:val="Char1 Char Char Char"/>
    <w:basedOn w:val="1"/>
    <w:qFormat/>
    <w:uiPriority w:val="0"/>
  </w:style>
  <w:style w:type="character" w:customStyle="1" w:styleId="158">
    <w:name w:val="标题 1 Char Char"/>
    <w:qFormat/>
    <w:uiPriority w:val="0"/>
    <w:rPr>
      <w:rFonts w:hint="eastAsia" w:ascii="宋体" w:hAnsi="宋体" w:eastAsia="宋体" w:cs="Times New Roman"/>
      <w:b/>
      <w:spacing w:val="-2"/>
      <w:sz w:val="24"/>
      <w:lang w:val="en-US" w:eastAsia="zh-CN" w:bidi="ar-SA"/>
    </w:rPr>
  </w:style>
  <w:style w:type="character" w:customStyle="1" w:styleId="159">
    <w:name w:val="标题 5 Char"/>
    <w:link w:val="9"/>
    <w:qFormat/>
    <w:uiPriority w:val="0"/>
    <w:rPr>
      <w:rFonts w:ascii="Times New Roman" w:hAnsi="Times New Roman" w:eastAsia="宋体" w:cs="Times New Roman"/>
      <w:b/>
      <w:kern w:val="2"/>
      <w:sz w:val="28"/>
      <w:szCs w:val="24"/>
      <w:lang w:val="en-US" w:eastAsia="zh-CN" w:bidi="ar-SA"/>
    </w:rPr>
  </w:style>
  <w:style w:type="paragraph" w:customStyle="1" w:styleId="160">
    <w:name w:val="Char1"/>
    <w:basedOn w:val="1"/>
    <w:qFormat/>
    <w:uiPriority w:val="0"/>
    <w:rPr>
      <w:szCs w:val="21"/>
    </w:rPr>
  </w:style>
  <w:style w:type="paragraph" w:customStyle="1" w:styleId="161">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kern w:val="0"/>
      <w:szCs w:val="21"/>
    </w:rPr>
  </w:style>
  <w:style w:type="character" w:customStyle="1" w:styleId="162">
    <w:name w:val="date-title1"/>
    <w:qFormat/>
    <w:uiPriority w:val="0"/>
    <w:rPr>
      <w:rFonts w:ascii="Times New Roman" w:hAnsi="Times New Roman" w:eastAsia="宋体" w:cs="Times New Roman"/>
      <w:color w:val="24344E"/>
      <w:sz w:val="27"/>
      <w:szCs w:val="27"/>
    </w:rPr>
  </w:style>
  <w:style w:type="character" w:customStyle="1" w:styleId="163">
    <w:name w:val="正文文本缩进 2 Char1"/>
    <w:link w:val="31"/>
    <w:qFormat/>
    <w:uiPriority w:val="0"/>
    <w:rPr>
      <w:rFonts w:ascii="Times New Roman" w:hAnsi="Times New Roman" w:eastAsia="宋体" w:cs="Times New Roman"/>
      <w:kern w:val="2"/>
      <w:sz w:val="32"/>
      <w:lang w:val="en-US" w:eastAsia="zh-CN" w:bidi="ar-SA"/>
    </w:rPr>
  </w:style>
  <w:style w:type="paragraph" w:customStyle="1" w:styleId="164">
    <w:name w:val="题注4"/>
    <w:basedOn w:val="1"/>
    <w:next w:val="18"/>
    <w:qFormat/>
    <w:uiPriority w:val="0"/>
    <w:pPr>
      <w:ind w:left="-132" w:leftChars="-64" w:right="-105" w:rightChars="-50" w:hanging="2"/>
      <w:jc w:val="center"/>
    </w:pPr>
    <w:rPr>
      <w:b/>
      <w:color w:val="FF0000"/>
      <w:szCs w:val="21"/>
      <w:lang w:val="en-GB"/>
    </w:rPr>
  </w:style>
  <w:style w:type="character" w:customStyle="1" w:styleId="165">
    <w:name w:val="ant-tree-checkbox2"/>
    <w:qFormat/>
    <w:uiPriority w:val="0"/>
  </w:style>
  <w:style w:type="character" w:customStyle="1" w:styleId="166">
    <w:name w:val="danger"/>
    <w:qFormat/>
    <w:uiPriority w:val="0"/>
    <w:rPr>
      <w:rFonts w:ascii="Times New Roman" w:hAnsi="Times New Roman" w:eastAsia="宋体" w:cs="Times New Roman"/>
      <w:color w:val="FF2200"/>
    </w:rPr>
  </w:style>
  <w:style w:type="character" w:customStyle="1" w:styleId="167">
    <w:name w:val="right"/>
    <w:qFormat/>
    <w:uiPriority w:val="0"/>
    <w:rPr>
      <w:rFonts w:ascii="Times New Roman" w:hAnsi="Times New Roman" w:eastAsia="宋体" w:cs="Times New Roman"/>
    </w:rPr>
  </w:style>
  <w:style w:type="paragraph" w:customStyle="1" w:styleId="168">
    <w:name w:val="正文列表"/>
    <w:basedOn w:val="1"/>
    <w:qFormat/>
    <w:uiPriority w:val="0"/>
    <w:pPr>
      <w:autoSpaceDE w:val="0"/>
      <w:autoSpaceDN w:val="0"/>
      <w:jc w:val="center"/>
    </w:pPr>
    <w:rPr>
      <w:rFonts w:ascii="宋体" w:hAnsi="宋体"/>
      <w:kern w:val="0"/>
      <w:sz w:val="24"/>
      <w:szCs w:val="20"/>
    </w:rPr>
  </w:style>
  <w:style w:type="character" w:customStyle="1" w:styleId="169">
    <w:name w:val="Char Char11"/>
    <w:qFormat/>
    <w:uiPriority w:val="0"/>
    <w:rPr>
      <w:rFonts w:ascii="Times New Roman" w:hAnsi="Times New Roman" w:eastAsia="宋体" w:cs="Times New Roman"/>
      <w:kern w:val="2"/>
      <w:sz w:val="21"/>
      <w:szCs w:val="20"/>
    </w:rPr>
  </w:style>
  <w:style w:type="character" w:customStyle="1" w:styleId="170">
    <w:name w:val="标题 8 Char"/>
    <w:link w:val="13"/>
    <w:qFormat/>
    <w:uiPriority w:val="0"/>
    <w:rPr>
      <w:rFonts w:ascii="Arial" w:hAnsi="Arial" w:eastAsia="黑体" w:cs="Times New Roman"/>
      <w:kern w:val="2"/>
      <w:sz w:val="24"/>
      <w:szCs w:val="24"/>
      <w:lang w:val="en-US" w:eastAsia="zh-CN" w:bidi="ar-SA"/>
    </w:rPr>
  </w:style>
  <w:style w:type="paragraph" w:customStyle="1" w:styleId="171">
    <w:name w:val="标题 2_0"/>
    <w:basedOn w:val="172"/>
    <w:next w:val="172"/>
    <w:qFormat/>
    <w:uiPriority w:val="0"/>
    <w:pPr>
      <w:keepNext/>
      <w:keepLines/>
      <w:spacing w:before="60" w:after="60" w:line="413" w:lineRule="auto"/>
      <w:outlineLvl w:val="1"/>
    </w:pPr>
    <w:rPr>
      <w:rFonts w:ascii="Arial" w:hAnsi="Arial" w:eastAsia="黑体"/>
      <w:b/>
      <w:bCs/>
      <w:szCs w:val="32"/>
    </w:rPr>
  </w:style>
  <w:style w:type="paragraph" w:customStyle="1" w:styleId="17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skip1"/>
    <w:qFormat/>
    <w:uiPriority w:val="0"/>
    <w:rPr>
      <w:rFonts w:ascii="Times New Roman" w:hAnsi="Times New Roman" w:eastAsia="宋体" w:cs="Times New Roman"/>
    </w:rPr>
  </w:style>
  <w:style w:type="character" w:customStyle="1" w:styleId="174">
    <w:name w:val="large"/>
    <w:qFormat/>
    <w:uiPriority w:val="0"/>
    <w:rPr>
      <w:rFonts w:ascii="Times New Roman" w:hAnsi="Times New Roman" w:eastAsia="宋体" w:cs="Times New Roman"/>
      <w:color w:val="197AFF"/>
      <w:sz w:val="24"/>
      <w:szCs w:val="24"/>
    </w:rPr>
  </w:style>
  <w:style w:type="character" w:customStyle="1" w:styleId="175">
    <w:name w:val="info-content"/>
    <w:qFormat/>
    <w:uiPriority w:val="0"/>
    <w:rPr>
      <w:rFonts w:ascii="Times New Roman" w:hAnsi="Times New Roman" w:eastAsia="宋体" w:cs="Times New Roman"/>
      <w:color w:val="808080"/>
    </w:rPr>
  </w:style>
  <w:style w:type="character" w:customStyle="1" w:styleId="176">
    <w:name w:val="checker-icon"/>
    <w:qFormat/>
    <w:uiPriority w:val="0"/>
    <w:rPr>
      <w:rFonts w:ascii="Times New Roman" w:hAnsi="Times New Roman" w:eastAsia="宋体" w:cs="Times New Roman"/>
    </w:rPr>
  </w:style>
  <w:style w:type="character" w:customStyle="1" w:styleId="177">
    <w:name w:val="heighthight4"/>
    <w:qFormat/>
    <w:uiPriority w:val="0"/>
    <w:rPr>
      <w:rFonts w:ascii="Times New Roman" w:hAnsi="Times New Roman" w:eastAsia="宋体" w:cs="Times New Roman"/>
      <w:color w:val="FAAE14"/>
    </w:rPr>
  </w:style>
  <w:style w:type="paragraph" w:customStyle="1" w:styleId="178">
    <w:name w:val="列出段落1"/>
    <w:basedOn w:val="1"/>
    <w:qFormat/>
    <w:uiPriority w:val="0"/>
    <w:pPr>
      <w:ind w:firstLine="420" w:firstLineChars="200"/>
    </w:pPr>
    <w:rPr>
      <w:rFonts w:ascii="Calibri" w:hAnsi="Calibri"/>
      <w:szCs w:val="22"/>
    </w:rPr>
  </w:style>
  <w:style w:type="character" w:customStyle="1" w:styleId="179">
    <w:name w:val="tuih5"/>
    <w:qFormat/>
    <w:uiPriority w:val="0"/>
    <w:rPr>
      <w:bdr w:val="single" w:color="000000" w:sz="6" w:space="0"/>
    </w:rPr>
  </w:style>
  <w:style w:type="character" w:customStyle="1" w:styleId="180">
    <w:name w:val="正文首行缩进 Char"/>
    <w:qFormat/>
    <w:uiPriority w:val="0"/>
    <w:rPr>
      <w:rFonts w:ascii="宋体" w:hAnsi="Courier New" w:eastAsia="宋体" w:cs="Courier New"/>
      <w:szCs w:val="21"/>
    </w:rPr>
  </w:style>
  <w:style w:type="character" w:customStyle="1" w:styleId="181">
    <w:name w:val="正文文本缩进 Char"/>
    <w:link w:val="23"/>
    <w:qFormat/>
    <w:uiPriority w:val="0"/>
    <w:rPr>
      <w:rFonts w:ascii="仿宋_GB2312" w:hAnsi="Times New Roman" w:eastAsia="仿宋_GB2312" w:cs="Times New Roman"/>
      <w:sz w:val="32"/>
      <w:szCs w:val="20"/>
    </w:rPr>
  </w:style>
  <w:style w:type="character" w:customStyle="1" w:styleId="182">
    <w:name w:val="change-camera-place"/>
    <w:qFormat/>
    <w:uiPriority w:val="0"/>
    <w:rPr>
      <w:rFonts w:ascii="Times New Roman" w:hAnsi="Times New Roman" w:eastAsia="宋体" w:cs="Times New Roman"/>
      <w:color w:val="3177FD"/>
    </w:rPr>
  </w:style>
  <w:style w:type="paragraph" w:customStyle="1" w:styleId="183">
    <w:name w:val="四级标题"/>
    <w:basedOn w:val="1"/>
    <w:link w:val="267"/>
    <w:qFormat/>
    <w:uiPriority w:val="0"/>
    <w:pPr>
      <w:numPr>
        <w:ilvl w:val="0"/>
        <w:numId w:val="5"/>
      </w:numPr>
      <w:spacing w:line="360" w:lineRule="auto"/>
      <w:outlineLvl w:val="3"/>
    </w:pPr>
    <w:rPr>
      <w:rFonts w:eastAsia="黑体"/>
      <w:b/>
      <w:sz w:val="28"/>
      <w:szCs w:val="20"/>
    </w:rPr>
  </w:style>
  <w:style w:type="character" w:customStyle="1" w:styleId="184">
    <w:name w:val="纯文本 Char"/>
    <w:link w:val="28"/>
    <w:qFormat/>
    <w:uiPriority w:val="0"/>
    <w:rPr>
      <w:rFonts w:ascii="宋体" w:hAnsi="Courier New" w:eastAsia="宋体" w:cs="Courier New"/>
      <w:szCs w:val="21"/>
    </w:rPr>
  </w:style>
  <w:style w:type="character" w:customStyle="1" w:styleId="185">
    <w:name w:val="today1"/>
    <w:qFormat/>
    <w:uiPriority w:val="0"/>
    <w:rPr>
      <w:rFonts w:ascii="Times New Roman" w:hAnsi="Times New Roman" w:eastAsia="宋体" w:cs="Times New Roman"/>
      <w:color w:val="606060"/>
      <w:shd w:val="clear" w:color="auto" w:fill="F5F6FA"/>
    </w:rPr>
  </w:style>
  <w:style w:type="character" w:customStyle="1" w:styleId="186">
    <w:name w:val="desc"/>
    <w:qFormat/>
    <w:uiPriority w:val="0"/>
    <w:rPr>
      <w:rFonts w:ascii="Times New Roman" w:hAnsi="Times New Roman" w:eastAsia="宋体" w:cs="Times New Roman"/>
    </w:rPr>
  </w:style>
  <w:style w:type="character" w:customStyle="1" w:styleId="187">
    <w:name w:val="标题 1 字符1"/>
    <w:qFormat/>
    <w:uiPriority w:val="0"/>
    <w:rPr>
      <w:rFonts w:ascii="Times New Roman" w:hAnsi="Times New Roman" w:eastAsia="宋体" w:cs="Times New Roman"/>
      <w:b/>
      <w:bCs/>
      <w:kern w:val="44"/>
      <w:sz w:val="44"/>
      <w:szCs w:val="44"/>
      <w:lang w:val="en-US" w:eastAsia="zh-CN" w:bidi="ar-SA"/>
    </w:rPr>
  </w:style>
  <w:style w:type="character" w:customStyle="1" w:styleId="188">
    <w:name w:val="ant-tree-checkbox"/>
    <w:qFormat/>
    <w:uiPriority w:val="0"/>
  </w:style>
  <w:style w:type="character" w:customStyle="1" w:styleId="189">
    <w:name w:val="icon_bj3"/>
    <w:qFormat/>
    <w:uiPriority w:val="0"/>
    <w:rPr>
      <w:rFonts w:ascii="Times New Roman" w:hAnsi="Times New Roman" w:eastAsia="宋体" w:cs="Times New Roman"/>
      <w:color w:val="FFFFFF"/>
      <w:sz w:val="18"/>
      <w:szCs w:val="18"/>
      <w:shd w:val="clear" w:color="auto" w:fill="4A90E2"/>
    </w:rPr>
  </w:style>
  <w:style w:type="character" w:customStyle="1" w:styleId="190">
    <w:name w:val="small1"/>
    <w:qFormat/>
    <w:uiPriority w:val="0"/>
    <w:rPr>
      <w:rFonts w:ascii="Times New Roman" w:hAnsi="Times New Roman" w:eastAsia="宋体" w:cs="Times New Roman"/>
      <w:sz w:val="18"/>
      <w:szCs w:val="18"/>
    </w:rPr>
  </w:style>
  <w:style w:type="character" w:customStyle="1" w:styleId="191">
    <w:name w:val="tuih1"/>
    <w:qFormat/>
    <w:uiPriority w:val="0"/>
    <w:rPr>
      <w:bdr w:val="single" w:color="000000" w:sz="6" w:space="0"/>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3">
    <w:name w:val="redline1"/>
    <w:qFormat/>
    <w:uiPriority w:val="0"/>
    <w:rPr>
      <w:rFonts w:ascii="Times New Roman" w:hAnsi="Times New Roman" w:eastAsia="宋体" w:cs="Times New Roman"/>
      <w:color w:val="FF0000"/>
    </w:rPr>
  </w:style>
  <w:style w:type="paragraph" w:customStyle="1" w:styleId="194">
    <w:name w:val="默认段落字体 Para Char Char Char Char Char Char Char Char Char1 Char Char Char Char"/>
    <w:basedOn w:val="1"/>
    <w:qFormat/>
    <w:uiPriority w:val="0"/>
    <w:rPr>
      <w:rFonts w:ascii="Tahoma" w:hAnsi="Tahoma"/>
      <w:sz w:val="24"/>
      <w:szCs w:val="20"/>
    </w:rPr>
  </w:style>
  <w:style w:type="character" w:customStyle="1" w:styleId="195">
    <w:name w:val="gotoset1"/>
    <w:qFormat/>
    <w:uiPriority w:val="0"/>
    <w:rPr>
      <w:rFonts w:ascii="Times New Roman" w:hAnsi="Times New Roman" w:eastAsia="宋体" w:cs="Times New Roman"/>
      <w:color w:val="999999"/>
    </w:rPr>
  </w:style>
  <w:style w:type="paragraph" w:customStyle="1" w:styleId="196">
    <w:name w:val="图"/>
    <w:basedOn w:val="1"/>
    <w:qFormat/>
    <w:uiPriority w:val="0"/>
    <w:pPr>
      <w:keepNext/>
      <w:spacing w:before="60" w:after="60" w:line="300" w:lineRule="auto"/>
      <w:jc w:val="center"/>
    </w:pPr>
    <w:rPr>
      <w:snapToGrid w:val="0"/>
      <w:spacing w:val="20"/>
      <w:kern w:val="0"/>
      <w:sz w:val="24"/>
      <w:szCs w:val="20"/>
    </w:rPr>
  </w:style>
  <w:style w:type="paragraph" w:customStyle="1" w:styleId="197">
    <w:name w:val="表内文字"/>
    <w:basedOn w:val="1"/>
    <w:qFormat/>
    <w:uiPriority w:val="0"/>
    <w:pPr>
      <w:spacing w:before="50" w:after="50"/>
      <w:jc w:val="center"/>
    </w:pPr>
    <w:rPr>
      <w:rFonts w:ascii="仿宋_GB2312" w:hAnsi="宋体" w:eastAsia="仿宋_GB2312"/>
      <w:b/>
      <w:color w:val="000000"/>
      <w:sz w:val="32"/>
      <w:szCs w:val="32"/>
    </w:rPr>
  </w:style>
  <w:style w:type="character" w:customStyle="1" w:styleId="198">
    <w:name w:val="current3"/>
    <w:qFormat/>
    <w:uiPriority w:val="0"/>
    <w:rPr>
      <w:rFonts w:ascii="Times New Roman" w:hAnsi="Times New Roman" w:eastAsia="宋体" w:cs="Times New Roman"/>
    </w:rPr>
  </w:style>
  <w:style w:type="character" w:customStyle="1" w:styleId="199">
    <w:name w:val="small"/>
    <w:qFormat/>
    <w:uiPriority w:val="0"/>
    <w:rPr>
      <w:rFonts w:ascii="Times New Roman" w:hAnsi="Times New Roman" w:eastAsia="宋体" w:cs="Times New Roman"/>
      <w:color w:val="197AFF"/>
      <w:sz w:val="18"/>
      <w:szCs w:val="18"/>
    </w:rPr>
  </w:style>
  <w:style w:type="character" w:customStyle="1" w:styleId="200">
    <w:name w:val="temp1"/>
    <w:qFormat/>
    <w:uiPriority w:val="0"/>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character" w:customStyle="1" w:styleId="202">
    <w:name w:val="正文首行缩进 Char1"/>
    <w:link w:val="52"/>
    <w:qFormat/>
    <w:uiPriority w:val="0"/>
    <w:rPr>
      <w:rFonts w:ascii="宋体" w:hAnsi="Courier New" w:eastAsia="宋体" w:cs="Courier New"/>
      <w:szCs w:val="21"/>
    </w:rPr>
  </w:style>
  <w:style w:type="paragraph" w:customStyle="1" w:styleId="203">
    <w:name w:val="五级标题"/>
    <w:basedOn w:val="1"/>
    <w:link w:val="235"/>
    <w:qFormat/>
    <w:uiPriority w:val="0"/>
    <w:pPr>
      <w:numPr>
        <w:ilvl w:val="0"/>
        <w:numId w:val="6"/>
      </w:numPr>
      <w:spacing w:line="360" w:lineRule="auto"/>
      <w:outlineLvl w:val="4"/>
    </w:pPr>
    <w:rPr>
      <w:rFonts w:eastAsia="黑体"/>
      <w:b/>
      <w:sz w:val="28"/>
      <w:szCs w:val="20"/>
    </w:rPr>
  </w:style>
  <w:style w:type="paragraph" w:customStyle="1" w:styleId="204">
    <w:name w:val="Char Char Char"/>
    <w:basedOn w:val="1"/>
    <w:qFormat/>
    <w:uiPriority w:val="0"/>
    <w:rPr>
      <w:rFonts w:ascii="Tahoma" w:hAnsi="Tahoma"/>
      <w:sz w:val="24"/>
      <w:szCs w:val="20"/>
    </w:rPr>
  </w:style>
  <w:style w:type="character" w:customStyle="1" w:styleId="205">
    <w:name w:val="tuih8"/>
    <w:qFormat/>
    <w:uiPriority w:val="0"/>
    <w:rPr>
      <w:bdr w:val="single" w:color="000000" w:sz="6" w:space="0"/>
    </w:rPr>
  </w:style>
  <w:style w:type="character" w:customStyle="1" w:styleId="206">
    <w:name w:val="edui-unclickable"/>
    <w:qFormat/>
    <w:uiPriority w:val="0"/>
    <w:rPr>
      <w:rFonts w:ascii="Times New Roman" w:hAnsi="Times New Roman" w:eastAsia="宋体" w:cs="Times New Roman"/>
      <w:color w:val="808080"/>
    </w:rPr>
  </w:style>
  <w:style w:type="character" w:customStyle="1" w:styleId="207">
    <w:name w:val="c-icon"/>
    <w:qFormat/>
    <w:uiPriority w:val="0"/>
    <w:rPr>
      <w:rFonts w:ascii="Times New Roman" w:hAnsi="Times New Roman" w:eastAsia="宋体" w:cs="Times New Roman"/>
    </w:rPr>
  </w:style>
  <w:style w:type="character" w:customStyle="1" w:styleId="208">
    <w:name w:val="标题 7 Char"/>
    <w:link w:val="12"/>
    <w:qFormat/>
    <w:uiPriority w:val="0"/>
    <w:rPr>
      <w:rFonts w:ascii="Times New Roman" w:hAnsi="Times New Roman" w:eastAsia="宋体" w:cs="Times New Roman"/>
      <w:b/>
      <w:kern w:val="2"/>
      <w:sz w:val="24"/>
      <w:szCs w:val="24"/>
      <w:lang w:val="en-US" w:eastAsia="zh-CN" w:bidi="ar-SA"/>
    </w:rPr>
  </w:style>
  <w:style w:type="character" w:customStyle="1" w:styleId="209">
    <w:name w:val="正文文本缩进 2 Char"/>
    <w:qFormat/>
    <w:uiPriority w:val="0"/>
    <w:rPr>
      <w:rFonts w:ascii="Times New Roman" w:hAnsi="Times New Roman" w:eastAsia="宋体" w:cs="Times New Roman"/>
      <w:kern w:val="2"/>
      <w:sz w:val="21"/>
      <w:szCs w:val="24"/>
      <w:lang w:val="en-US" w:eastAsia="zh-CN" w:bidi="ar-SA"/>
    </w:rPr>
  </w:style>
  <w:style w:type="character" w:customStyle="1" w:styleId="210">
    <w:name w:val="gotoset"/>
    <w:qFormat/>
    <w:uiPriority w:val="0"/>
    <w:rPr>
      <w:rFonts w:ascii="Times New Roman" w:hAnsi="Times New Roman" w:eastAsia="宋体" w:cs="Times New Roman"/>
      <w:color w:val="999999"/>
    </w:rPr>
  </w:style>
  <w:style w:type="character" w:customStyle="1" w:styleId="211">
    <w:name w:val="heighthight5"/>
    <w:qFormat/>
    <w:uiPriority w:val="0"/>
    <w:rPr>
      <w:rFonts w:ascii="Times New Roman" w:hAnsi="Times New Roman" w:eastAsia="宋体" w:cs="Times New Roman"/>
      <w:color w:val="FAAE14"/>
    </w:rPr>
  </w:style>
  <w:style w:type="character" w:customStyle="1" w:styleId="212">
    <w:name w:val="tag-type"/>
    <w:qFormat/>
    <w:uiPriority w:val="0"/>
    <w:rPr>
      <w:rFonts w:ascii="Times New Roman" w:hAnsi="Times New Roman" w:eastAsia="宋体" w:cs="Times New Roman"/>
      <w:color w:val="FFFFFF"/>
      <w:sz w:val="18"/>
      <w:szCs w:val="18"/>
      <w:shd w:val="clear" w:color="auto" w:fill="317FFD"/>
    </w:rPr>
  </w:style>
  <w:style w:type="character" w:customStyle="1" w:styleId="213">
    <w:name w:val="tag-type1"/>
    <w:qFormat/>
    <w:uiPriority w:val="0"/>
    <w:rPr>
      <w:rFonts w:ascii="Times New Roman" w:hAnsi="Times New Roman" w:eastAsia="宋体" w:cs="Times New Roman"/>
      <w:color w:val="FFFFFF"/>
      <w:sz w:val="18"/>
      <w:szCs w:val="18"/>
      <w:shd w:val="clear" w:color="auto" w:fill="317FFD"/>
    </w:rPr>
  </w:style>
  <w:style w:type="character" w:customStyle="1" w:styleId="214">
    <w:name w:val="last-child"/>
    <w:qFormat/>
    <w:uiPriority w:val="0"/>
    <w:rPr>
      <w:rFonts w:ascii="Times New Roman" w:hAnsi="Times New Roman" w:eastAsia="宋体" w:cs="Times New Roman"/>
    </w:rPr>
  </w:style>
  <w:style w:type="paragraph" w:customStyle="1" w:styleId="215">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character" w:customStyle="1" w:styleId="216">
    <w:name w:val="Char Char15"/>
    <w:qFormat/>
    <w:uiPriority w:val="0"/>
    <w:rPr>
      <w:rFonts w:ascii="Cambria" w:hAnsi="Cambria" w:eastAsia="宋体" w:cs="Times New Roman"/>
      <w:sz w:val="24"/>
      <w:szCs w:val="24"/>
    </w:rPr>
  </w:style>
  <w:style w:type="paragraph" w:customStyle="1" w:styleId="217">
    <w:name w:val="标题-3"/>
    <w:basedOn w:val="1"/>
    <w:link w:val="218"/>
    <w:qFormat/>
    <w:uiPriority w:val="0"/>
    <w:pPr>
      <w:outlineLvl w:val="2"/>
    </w:pPr>
    <w:rPr>
      <w:rFonts w:ascii="宋体" w:hAnsi="宋体"/>
      <w:b/>
      <w:kern w:val="0"/>
      <w:sz w:val="24"/>
    </w:rPr>
  </w:style>
  <w:style w:type="character" w:customStyle="1" w:styleId="218">
    <w:name w:val="标题-3 Char"/>
    <w:link w:val="217"/>
    <w:qFormat/>
    <w:uiPriority w:val="0"/>
    <w:rPr>
      <w:rFonts w:ascii="宋体" w:hAnsi="宋体" w:eastAsia="宋体" w:cs="Times New Roman"/>
      <w:b/>
      <w:sz w:val="24"/>
      <w:szCs w:val="24"/>
      <w:lang w:bidi="ar-SA"/>
    </w:rPr>
  </w:style>
  <w:style w:type="character" w:customStyle="1" w:styleId="219">
    <w:name w:val="date-title"/>
    <w:qFormat/>
    <w:uiPriority w:val="0"/>
    <w:rPr>
      <w:rFonts w:ascii="Times New Roman" w:hAnsi="Times New Roman" w:eastAsia="宋体" w:cs="Times New Roman"/>
      <w:color w:val="24344E"/>
      <w:sz w:val="27"/>
      <w:szCs w:val="27"/>
    </w:rPr>
  </w:style>
  <w:style w:type="character" w:customStyle="1" w:styleId="220">
    <w:name w:val="纯文本 字符1"/>
    <w:qFormat/>
    <w:uiPriority w:val="0"/>
    <w:rPr>
      <w:rFonts w:ascii="宋体" w:hAnsi="Courier New" w:eastAsia="宋体" w:cs="Times New Roman"/>
    </w:rPr>
  </w:style>
  <w:style w:type="character" w:customStyle="1" w:styleId="221">
    <w:name w:val="Char Char16"/>
    <w:qFormat/>
    <w:uiPriority w:val="0"/>
    <w:rPr>
      <w:rFonts w:ascii="Calibri" w:hAnsi="Calibri" w:eastAsia="宋体" w:cs="Times New Roman"/>
      <w:b/>
      <w:bCs/>
      <w:sz w:val="24"/>
      <w:szCs w:val="24"/>
    </w:rPr>
  </w:style>
  <w:style w:type="character" w:customStyle="1" w:styleId="222">
    <w:name w:val="heighthight"/>
    <w:qFormat/>
    <w:uiPriority w:val="0"/>
    <w:rPr>
      <w:rFonts w:ascii="Times New Roman" w:hAnsi="Times New Roman" w:eastAsia="宋体" w:cs="Times New Roman"/>
      <w:color w:val="FAAE14"/>
    </w:rPr>
  </w:style>
  <w:style w:type="paragraph" w:customStyle="1" w:styleId="223">
    <w:name w:val="Zchn Zchn"/>
    <w:basedOn w:val="1"/>
    <w:qFormat/>
    <w:uiPriority w:val="0"/>
    <w:rPr>
      <w:rFonts w:ascii="Tahoma" w:hAnsi="Tahoma"/>
      <w:sz w:val="24"/>
      <w:szCs w:val="20"/>
    </w:rPr>
  </w:style>
  <w:style w:type="character" w:customStyle="1" w:styleId="224">
    <w:name w:val="first-child8"/>
    <w:qFormat/>
    <w:uiPriority w:val="0"/>
  </w:style>
  <w:style w:type="character" w:customStyle="1" w:styleId="225">
    <w:name w:val="first-child9"/>
    <w:qFormat/>
    <w:uiPriority w:val="0"/>
  </w:style>
  <w:style w:type="paragraph" w:customStyle="1" w:styleId="226">
    <w:name w:val="样式 首行缩进:  2 字符"/>
    <w:basedOn w:val="1"/>
    <w:qFormat/>
    <w:uiPriority w:val="0"/>
    <w:pPr>
      <w:spacing w:line="400" w:lineRule="exact"/>
      <w:ind w:firstLine="200" w:firstLineChars="200"/>
    </w:pPr>
    <w:rPr>
      <w:rFonts w:cs="宋体"/>
      <w:sz w:val="24"/>
    </w:rPr>
  </w:style>
  <w:style w:type="character" w:customStyle="1" w:styleId="227">
    <w:name w:val="fontorange1"/>
    <w:qFormat/>
    <w:uiPriority w:val="0"/>
    <w:rPr>
      <w:rFonts w:ascii="ˎ̥" w:hAnsi="ˎ̥" w:eastAsia="宋体" w:cs="Times New Roman"/>
      <w:color w:val="FF6600"/>
      <w:kern w:val="2"/>
      <w:sz w:val="18"/>
      <w:szCs w:val="18"/>
      <w:lang w:val="en-US" w:eastAsia="zh-CN" w:bidi="ar-SA"/>
    </w:rPr>
  </w:style>
  <w:style w:type="character" w:customStyle="1" w:styleId="228">
    <w:name w:val="页脚 Char"/>
    <w:link w:val="34"/>
    <w:qFormat/>
    <w:uiPriority w:val="0"/>
    <w:rPr>
      <w:rFonts w:ascii="Times New Roman" w:hAnsi="Times New Roman" w:eastAsia="宋体" w:cs="Times New Roman"/>
      <w:sz w:val="18"/>
      <w:szCs w:val="18"/>
    </w:rPr>
  </w:style>
  <w:style w:type="character" w:customStyle="1" w:styleId="229">
    <w:name w:val="next-item"/>
    <w:qFormat/>
    <w:uiPriority w:val="0"/>
    <w:rPr>
      <w:bdr w:val="single" w:color="000000" w:sz="6" w:space="0"/>
    </w:rPr>
  </w:style>
  <w:style w:type="character" w:customStyle="1" w:styleId="230">
    <w:name w:val="lastquotetag"/>
    <w:qFormat/>
    <w:uiPriority w:val="0"/>
    <w:rPr>
      <w:vanish/>
      <w:sz w:val="18"/>
      <w:szCs w:val="18"/>
      <w:bdr w:val="single" w:color="000000" w:sz="6" w:space="0"/>
    </w:rPr>
  </w:style>
  <w:style w:type="character" w:customStyle="1" w:styleId="231">
    <w:name w:val="2nd level Char"/>
    <w:qFormat/>
    <w:uiPriority w:val="0"/>
    <w:rPr>
      <w:rFonts w:ascii="Arial" w:hAnsi="Arial" w:eastAsia="黑体" w:cs="Times New Roman"/>
      <w:b/>
      <w:bCs/>
      <w:kern w:val="2"/>
      <w:sz w:val="32"/>
      <w:szCs w:val="32"/>
    </w:rPr>
  </w:style>
  <w:style w:type="paragraph" w:customStyle="1" w:styleId="232">
    <w:name w:val="样式 (符号) 宋体 四号"/>
    <w:basedOn w:val="1"/>
    <w:qFormat/>
    <w:uiPriority w:val="0"/>
    <w:pPr>
      <w:spacing w:line="360" w:lineRule="auto"/>
      <w:ind w:firstLine="200" w:firstLineChars="200"/>
    </w:pPr>
    <w:rPr>
      <w:rFonts w:hAnsi="宋体" w:cs="宋体"/>
      <w:szCs w:val="20"/>
    </w:rPr>
  </w:style>
  <w:style w:type="paragraph" w:customStyle="1" w:styleId="233">
    <w:name w:val="1"/>
    <w:basedOn w:val="1"/>
    <w:next w:val="28"/>
    <w:qFormat/>
    <w:uiPriority w:val="0"/>
    <w:rPr>
      <w:rFonts w:ascii="宋体" w:hAnsi="Courier New"/>
      <w:szCs w:val="20"/>
    </w:rPr>
  </w:style>
  <w:style w:type="character" w:customStyle="1" w:styleId="234">
    <w:name w:val="tuih2"/>
    <w:qFormat/>
    <w:uiPriority w:val="0"/>
    <w:rPr>
      <w:bdr w:val="single" w:color="000000" w:sz="6" w:space="0"/>
    </w:rPr>
  </w:style>
  <w:style w:type="character" w:customStyle="1" w:styleId="235">
    <w:name w:val="五级标题 Char"/>
    <w:link w:val="203"/>
    <w:qFormat/>
    <w:uiPriority w:val="0"/>
    <w:rPr>
      <w:rFonts w:ascii="Times New Roman" w:hAnsi="Times New Roman" w:eastAsia="黑体" w:cs="Times New Roman"/>
      <w:b/>
      <w:kern w:val="2"/>
      <w:sz w:val="28"/>
      <w:lang w:bidi="ar-SA"/>
    </w:rPr>
  </w:style>
  <w:style w:type="character" w:customStyle="1" w:styleId="236">
    <w:name w:val="ant-tree-iconele"/>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38">
    <w:name w:val="列出段落 Char"/>
    <w:link w:val="123"/>
    <w:qFormat/>
    <w:uiPriority w:val="0"/>
    <w:rPr>
      <w:rFonts w:ascii="Times New Roman" w:hAnsi="Times New Roman" w:eastAsia="宋体" w:cs="Times New Roman"/>
      <w:kern w:val="2"/>
      <w:sz w:val="21"/>
      <w:szCs w:val="24"/>
      <w:lang w:val="en-US" w:eastAsia="zh-CN" w:bidi="ar-SA"/>
    </w:rPr>
  </w:style>
  <w:style w:type="character" w:customStyle="1" w:styleId="239">
    <w:name w:val="ant-badge-status-dot2"/>
    <w:qFormat/>
    <w:uiPriority w:val="0"/>
    <w:rPr>
      <w:rFonts w:ascii="Times New Roman" w:hAnsi="Times New Roman" w:eastAsia="宋体" w:cs="Times New Roman"/>
      <w:shd w:val="clear" w:color="auto" w:fill="FFFFFF"/>
    </w:rPr>
  </w:style>
  <w:style w:type="character" w:customStyle="1" w:styleId="240">
    <w:name w:val="正文文本 字符"/>
    <w:qFormat/>
    <w:uiPriority w:val="0"/>
    <w:rPr>
      <w:rFonts w:ascii="Times New Roman" w:hAnsi="Times New Roman" w:eastAsia="宋体" w:cs="Times New Roman"/>
      <w:kern w:val="2"/>
      <w:sz w:val="21"/>
      <w:szCs w:val="24"/>
    </w:rPr>
  </w:style>
  <w:style w:type="character" w:customStyle="1" w:styleId="241">
    <w:name w:val="current"/>
    <w:qFormat/>
    <w:uiPriority w:val="0"/>
    <w:rPr>
      <w:rFonts w:ascii="Times New Roman" w:hAnsi="Times New Roman" w:eastAsia="宋体" w:cs="Times New Roman"/>
      <w:color w:val="197AFF"/>
      <w:shd w:val="clear" w:color="auto" w:fill="EBECF0"/>
    </w:rPr>
  </w:style>
  <w:style w:type="character" w:customStyle="1" w:styleId="242">
    <w:name w:val="apple-style-span"/>
    <w:qFormat/>
    <w:uiPriority w:val="0"/>
    <w:rPr>
      <w:rFonts w:ascii="Times New Roman" w:hAnsi="Times New Roman" w:eastAsia="宋体" w:cs="Times New Roman"/>
    </w:rPr>
  </w:style>
  <w:style w:type="paragraph" w:customStyle="1" w:styleId="243">
    <w:name w:val="办公自动化专用标题"/>
    <w:basedOn w:val="50"/>
    <w:qFormat/>
    <w:uiPriority w:val="0"/>
    <w:pPr>
      <w:spacing w:line="560" w:lineRule="atLeast"/>
    </w:pPr>
    <w:rPr>
      <w:rFonts w:ascii="宋体" w:hAnsi="Arial"/>
      <w:bCs w:val="0"/>
      <w:sz w:val="44"/>
      <w:szCs w:val="20"/>
    </w:rPr>
  </w:style>
  <w:style w:type="character" w:customStyle="1" w:styleId="244">
    <w:name w:val="all-fit-info"/>
    <w:qFormat/>
    <w:uiPriority w:val="0"/>
    <w:rPr>
      <w:rFonts w:ascii="Times New Roman" w:hAnsi="Times New Roman" w:eastAsia="宋体" w:cs="Times New Roman"/>
      <w:color w:val="939393"/>
    </w:rPr>
  </w:style>
  <w:style w:type="character" w:customStyle="1" w:styleId="245">
    <w:name w:val="Char Char171"/>
    <w:qFormat/>
    <w:uiPriority w:val="0"/>
    <w:rPr>
      <w:rFonts w:ascii="Cambria" w:hAnsi="Cambria" w:eastAsia="宋体" w:cs="Times New Roman"/>
      <w:b/>
      <w:bCs/>
      <w:sz w:val="24"/>
      <w:szCs w:val="24"/>
    </w:rPr>
  </w:style>
  <w:style w:type="character" w:customStyle="1" w:styleId="246">
    <w:name w:val="icon_bj1"/>
    <w:qFormat/>
    <w:uiPriority w:val="0"/>
    <w:rPr>
      <w:rFonts w:ascii="Times New Roman" w:hAnsi="Times New Roman" w:eastAsia="宋体" w:cs="Times New Roman"/>
      <w:color w:val="FFFFFF"/>
      <w:sz w:val="18"/>
      <w:szCs w:val="18"/>
      <w:shd w:val="clear" w:color="auto" w:fill="4A90E2"/>
    </w:rPr>
  </w:style>
  <w:style w:type="character" w:customStyle="1" w:styleId="247">
    <w:name w:val="tuih12"/>
    <w:qFormat/>
    <w:uiPriority w:val="0"/>
    <w:rPr>
      <w:bdr w:val="single" w:color="000000" w:sz="6" w:space="0"/>
    </w:rPr>
  </w:style>
  <w:style w:type="paragraph" w:customStyle="1" w:styleId="248">
    <w:name w:val="Body Text Indent1"/>
    <w:basedOn w:val="1"/>
    <w:qFormat/>
    <w:uiPriority w:val="0"/>
    <w:pPr>
      <w:spacing w:after="120"/>
      <w:ind w:left="420" w:leftChars="200"/>
    </w:pPr>
  </w:style>
  <w:style w:type="character" w:customStyle="1" w:styleId="249">
    <w:name w:val="caret4"/>
    <w:qFormat/>
    <w:uiPriority w:val="0"/>
    <w:rPr>
      <w:rFonts w:ascii="Times New Roman" w:hAnsi="Times New Roman" w:eastAsia="宋体" w:cs="Times New Roman"/>
    </w:rPr>
  </w:style>
  <w:style w:type="character" w:customStyle="1" w:styleId="250">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251">
    <w:name w:val="current6"/>
    <w:qFormat/>
    <w:uiPriority w:val="0"/>
    <w:rPr>
      <w:rFonts w:ascii="Times New Roman" w:hAnsi="Times New Roman" w:eastAsia="宋体" w:cs="Times New Roman"/>
      <w:color w:val="FFFFFF"/>
      <w:shd w:val="clear" w:color="auto" w:fill="5BA0FF"/>
    </w:rPr>
  </w:style>
  <w:style w:type="character" w:customStyle="1" w:styleId="252">
    <w:name w:val="heighthight6"/>
    <w:qFormat/>
    <w:uiPriority w:val="0"/>
    <w:rPr>
      <w:rFonts w:ascii="Times New Roman" w:hAnsi="Times New Roman" w:eastAsia="宋体" w:cs="Times New Roman"/>
      <w:color w:val="FAAE14"/>
    </w:rPr>
  </w:style>
  <w:style w:type="character" w:customStyle="1" w:styleId="253">
    <w:name w:val="批注文字 Char1"/>
    <w:qFormat/>
    <w:uiPriority w:val="0"/>
    <w:rPr>
      <w:rFonts w:ascii="Times New Roman" w:hAnsi="Times New Roman" w:eastAsia="宋体" w:cs="Times New Roman"/>
      <w:kern w:val="2"/>
      <w:sz w:val="21"/>
      <w:szCs w:val="24"/>
    </w:rPr>
  </w:style>
  <w:style w:type="character" w:customStyle="1" w:styleId="254">
    <w:name w:val="label2"/>
    <w:qFormat/>
    <w:uiPriority w:val="0"/>
  </w:style>
  <w:style w:type="character" w:customStyle="1" w:styleId="255">
    <w:name w:val="fl"/>
    <w:qFormat/>
    <w:uiPriority w:val="0"/>
    <w:rPr>
      <w:rFonts w:ascii="Times New Roman" w:hAnsi="Times New Roman" w:eastAsia="宋体" w:cs="Times New Roman"/>
      <w:sz w:val="21"/>
      <w:szCs w:val="21"/>
    </w:rPr>
  </w:style>
  <w:style w:type="character" w:customStyle="1" w:styleId="256">
    <w:name w:val="href-title"/>
    <w:qFormat/>
    <w:uiPriority w:val="0"/>
    <w:rPr>
      <w:rFonts w:ascii="Times New Roman" w:hAnsi="Times New Roman" w:eastAsia="宋体" w:cs="Times New Roman"/>
    </w:rPr>
  </w:style>
  <w:style w:type="character" w:customStyle="1" w:styleId="257">
    <w:name w:val="pagetitle1"/>
    <w:qFormat/>
    <w:uiPriority w:val="0"/>
    <w:rPr>
      <w:rFonts w:ascii="Times New Roman" w:hAnsi="Times New Roman" w:eastAsia="宋体" w:cs="Times New Roman"/>
      <w:color w:val="24344E"/>
      <w:sz w:val="27"/>
      <w:szCs w:val="27"/>
    </w:rPr>
  </w:style>
  <w:style w:type="character" w:customStyle="1" w:styleId="258">
    <w:name w:val="tuih13"/>
    <w:qFormat/>
    <w:uiPriority w:val="0"/>
    <w:rPr>
      <w:bdr w:val="single" w:color="000000" w:sz="6" w:space="0"/>
    </w:rPr>
  </w:style>
  <w:style w:type="character" w:customStyle="1" w:styleId="259">
    <w:name w:val="last-of-type"/>
    <w:qFormat/>
    <w:uiPriority w:val="0"/>
    <w:rPr>
      <w:rFonts w:ascii="Times New Roman" w:hAnsi="Times New Roman" w:eastAsia="宋体" w:cs="Times New Roman"/>
      <w:color w:val="FF4A44"/>
      <w:sz w:val="27"/>
      <w:szCs w:val="27"/>
    </w:rPr>
  </w:style>
  <w:style w:type="character" w:customStyle="1" w:styleId="260">
    <w:name w:val="first-child"/>
    <w:qFormat/>
    <w:uiPriority w:val="0"/>
  </w:style>
  <w:style w:type="character" w:customStyle="1" w:styleId="261">
    <w:name w:val="temp"/>
    <w:qFormat/>
    <w:uiPriority w:val="0"/>
  </w:style>
  <w:style w:type="character" w:customStyle="1" w:styleId="262">
    <w:name w:val="ant-badge-status-dot"/>
    <w:qFormat/>
    <w:uiPriority w:val="0"/>
    <w:rPr>
      <w:rFonts w:ascii="Times New Roman" w:hAnsi="Times New Roman" w:eastAsia="宋体" w:cs="Times New Roman"/>
      <w:shd w:val="clear" w:color="auto" w:fill="FFFFFF"/>
    </w:rPr>
  </w:style>
  <w:style w:type="character" w:customStyle="1" w:styleId="263">
    <w:name w:val="last-child6"/>
    <w:qFormat/>
    <w:uiPriority w:val="0"/>
  </w:style>
  <w:style w:type="character" w:customStyle="1" w:styleId="264">
    <w:name w:val="small2"/>
    <w:qFormat/>
    <w:uiPriority w:val="0"/>
    <w:rPr>
      <w:rFonts w:ascii="Times New Roman" w:hAnsi="Times New Roman" w:eastAsia="宋体" w:cs="Times New Roman"/>
      <w:sz w:val="21"/>
      <w:szCs w:val="21"/>
    </w:rPr>
  </w:style>
  <w:style w:type="character" w:customStyle="1" w:styleId="265">
    <w:name w:val="current1"/>
    <w:qFormat/>
    <w:uiPriority w:val="0"/>
    <w:rPr>
      <w:bdr w:val="single" w:color="000000" w:sz="6" w:space="0"/>
    </w:rPr>
  </w:style>
  <w:style w:type="paragraph" w:customStyle="1" w:styleId="26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character" w:customStyle="1" w:styleId="267">
    <w:name w:val="四级标题 Char"/>
    <w:link w:val="183"/>
    <w:qFormat/>
    <w:uiPriority w:val="0"/>
    <w:rPr>
      <w:rFonts w:ascii="Times New Roman" w:hAnsi="Times New Roman" w:eastAsia="黑体" w:cs="Times New Roman"/>
      <w:b/>
      <w:kern w:val="2"/>
      <w:sz w:val="28"/>
      <w:lang w:bidi="ar-SA"/>
    </w:rPr>
  </w:style>
  <w:style w:type="character" w:customStyle="1" w:styleId="268">
    <w:name w:val="heighthight3"/>
    <w:qFormat/>
    <w:uiPriority w:val="0"/>
    <w:rPr>
      <w:rFonts w:ascii="Times New Roman" w:hAnsi="Times New Roman" w:eastAsia="宋体" w:cs="Times New Roman"/>
      <w:color w:val="FAAE14"/>
    </w:rPr>
  </w:style>
  <w:style w:type="paragraph" w:customStyle="1" w:styleId="269">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270">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character" w:customStyle="1" w:styleId="271">
    <w:name w:val="content8"/>
    <w:qFormat/>
    <w:uiPriority w:val="0"/>
  </w:style>
  <w:style w:type="character" w:customStyle="1" w:styleId="272">
    <w:name w:val="tuih"/>
    <w:qFormat/>
    <w:uiPriority w:val="0"/>
    <w:rPr>
      <w:bdr w:val="single" w:color="000000" w:sz="6" w:space="0"/>
    </w:rPr>
  </w:style>
  <w:style w:type="character" w:customStyle="1" w:styleId="273">
    <w:name w:val="gotoset6"/>
    <w:qFormat/>
    <w:uiPriority w:val="0"/>
    <w:rPr>
      <w:rFonts w:ascii="Times New Roman" w:hAnsi="Times New Roman" w:eastAsia="宋体" w:cs="Times New Roman"/>
      <w:color w:val="999999"/>
    </w:rPr>
  </w:style>
  <w:style w:type="character" w:customStyle="1" w:styleId="274">
    <w:name w:val="mistske"/>
    <w:qFormat/>
    <w:uiPriority w:val="0"/>
    <w:rPr>
      <w:rFonts w:ascii="Times New Roman" w:hAnsi="Times New Roman" w:eastAsia="宋体" w:cs="Times New Roman"/>
      <w:color w:val="CCCCCC"/>
      <w:sz w:val="21"/>
      <w:szCs w:val="21"/>
    </w:rPr>
  </w:style>
  <w:style w:type="paragraph" w:customStyle="1" w:styleId="27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76">
    <w:name w:val="题注5"/>
    <w:basedOn w:val="1"/>
    <w:next w:val="18"/>
    <w:qFormat/>
    <w:uiPriority w:val="0"/>
    <w:pPr>
      <w:jc w:val="center"/>
    </w:pPr>
    <w:rPr>
      <w:b/>
      <w:color w:val="000000"/>
      <w:sz w:val="24"/>
      <w:szCs w:val="21"/>
    </w:rPr>
  </w:style>
  <w:style w:type="character" w:customStyle="1" w:styleId="277">
    <w:name w:val="fontstyle01"/>
    <w:qFormat/>
    <w:uiPriority w:val="0"/>
    <w:rPr>
      <w:rFonts w:ascii="仿宋" w:hAnsi="仿宋"/>
      <w:color w:val="000000"/>
      <w:sz w:val="32"/>
      <w:szCs w:val="32"/>
    </w:rPr>
  </w:style>
  <w:style w:type="paragraph" w:customStyle="1" w:styleId="278">
    <w:name w:val="正文首行缩进两字符"/>
    <w:basedOn w:val="1"/>
    <w:qFormat/>
    <w:uiPriority w:val="0"/>
    <w:pPr>
      <w:spacing w:line="360" w:lineRule="auto"/>
      <w:ind w:firstLine="200" w:firstLineChars="200"/>
    </w:pPr>
  </w:style>
  <w:style w:type="paragraph" w:customStyle="1" w:styleId="279">
    <w:name w:val="正文首行缩进 21"/>
    <w:basedOn w:val="248"/>
    <w:qFormat/>
    <w:uiPriority w:val="0"/>
    <w:pPr>
      <w:ind w:firstLine="420" w:firstLineChars="200"/>
    </w:pPr>
    <w:rPr>
      <w:rFonts w:ascii="Calibri" w:hAnsi="Calibri"/>
      <w:szCs w:val="22"/>
    </w:rPr>
  </w:style>
  <w:style w:type="character" w:customStyle="1" w:styleId="280">
    <w:name w:val="temp2"/>
    <w:qFormat/>
    <w:uiPriority w:val="0"/>
  </w:style>
  <w:style w:type="character" w:customStyle="1" w:styleId="281">
    <w:name w:val="mistake1"/>
    <w:qFormat/>
    <w:uiPriority w:val="0"/>
    <w:rPr>
      <w:rFonts w:ascii="Times New Roman" w:hAnsi="Times New Roman" w:eastAsia="宋体" w:cs="Times New Roman"/>
      <w:color w:val="CCCCCC"/>
      <w:sz w:val="24"/>
      <w:szCs w:val="24"/>
    </w:rPr>
  </w:style>
  <w:style w:type="character" w:customStyle="1" w:styleId="282">
    <w:name w:val="success"/>
    <w:qFormat/>
    <w:uiPriority w:val="0"/>
    <w:rPr>
      <w:rFonts w:ascii="Times New Roman" w:hAnsi="Times New Roman" w:eastAsia="宋体" w:cs="Times New Roman"/>
      <w:color w:val="2DC12D"/>
    </w:rPr>
  </w:style>
  <w:style w:type="character" w:customStyle="1" w:styleId="283">
    <w:name w:val="last-child5"/>
    <w:qFormat/>
    <w:uiPriority w:val="0"/>
  </w:style>
  <w:style w:type="paragraph" w:customStyle="1" w:styleId="284">
    <w:name w:val="_Style 35"/>
    <w:basedOn w:val="19"/>
    <w:qFormat/>
    <w:uiPriority w:val="0"/>
    <w:pPr>
      <w:widowControl/>
      <w:ind w:firstLine="454"/>
      <w:jc w:val="left"/>
    </w:pPr>
  </w:style>
  <w:style w:type="paragraph" w:customStyle="1" w:styleId="285">
    <w:name w:val="Char Char2 Char"/>
    <w:basedOn w:val="1"/>
    <w:qFormat/>
    <w:uiPriority w:val="0"/>
    <w:rPr>
      <w:rFonts w:ascii="宋体" w:hAnsi="宋体"/>
      <w:b/>
      <w:sz w:val="28"/>
      <w:szCs w:val="28"/>
    </w:rPr>
  </w:style>
  <w:style w:type="character" w:customStyle="1" w:styleId="286">
    <w:name w:val="gotoset2"/>
    <w:qFormat/>
    <w:uiPriority w:val="0"/>
    <w:rPr>
      <w:rFonts w:ascii="Times New Roman" w:hAnsi="Times New Roman" w:eastAsia="宋体" w:cs="Times New Roman"/>
      <w:color w:val="999999"/>
    </w:rPr>
  </w:style>
  <w:style w:type="character" w:customStyle="1" w:styleId="287">
    <w:name w:val="tuih4"/>
    <w:qFormat/>
    <w:uiPriority w:val="0"/>
    <w:rPr>
      <w:bdr w:val="single" w:color="000000" w:sz="6" w:space="0"/>
    </w:rPr>
  </w:style>
  <w:style w:type="character" w:customStyle="1" w:styleId="288">
    <w:name w:val="shenhezhong"/>
    <w:qFormat/>
    <w:uiPriority w:val="0"/>
    <w:rPr>
      <w:rFonts w:ascii="Times New Roman" w:hAnsi="Times New Roman" w:eastAsia="宋体" w:cs="Times New Roman"/>
      <w:color w:val="FFFFFF"/>
      <w:sz w:val="18"/>
      <w:szCs w:val="18"/>
      <w:shd w:val="clear" w:color="auto" w:fill="28B928"/>
    </w:rPr>
  </w:style>
  <w:style w:type="character" w:customStyle="1" w:styleId="289">
    <w:name w:val="c-icon14"/>
    <w:qFormat/>
    <w:uiPriority w:val="0"/>
    <w:rPr>
      <w:rFonts w:ascii="Times New Roman" w:hAnsi="Times New Roman" w:eastAsia="宋体" w:cs="Times New Roman"/>
    </w:rPr>
  </w:style>
  <w:style w:type="character" w:customStyle="1" w:styleId="290">
    <w:name w:val="标题 9 Char"/>
    <w:link w:val="14"/>
    <w:qFormat/>
    <w:uiPriority w:val="0"/>
    <w:rPr>
      <w:rFonts w:ascii="Arial" w:hAnsi="Arial" w:eastAsia="黑体" w:cs="Times New Roman"/>
      <w:kern w:val="2"/>
      <w:sz w:val="21"/>
      <w:szCs w:val="24"/>
      <w:lang w:val="en-US" w:eastAsia="zh-CN" w:bidi="ar-SA"/>
    </w:rPr>
  </w:style>
  <w:style w:type="character" w:customStyle="1" w:styleId="291">
    <w:name w:val="apple-converted-space"/>
    <w:qFormat/>
    <w:uiPriority w:val="0"/>
    <w:rPr>
      <w:rFonts w:ascii="Times New Roman" w:hAnsi="Times New Roman" w:eastAsia="宋体" w:cs="Times New Roman"/>
    </w:rPr>
  </w:style>
  <w:style w:type="paragraph" w:customStyle="1" w:styleId="292">
    <w:name w:val="表格"/>
    <w:basedOn w:val="1"/>
    <w:qFormat/>
    <w:uiPriority w:val="0"/>
    <w:pPr>
      <w:spacing w:line="400" w:lineRule="exact"/>
    </w:pPr>
    <w:rPr>
      <w:sz w:val="24"/>
    </w:rPr>
  </w:style>
  <w:style w:type="paragraph" w:customStyle="1" w:styleId="293">
    <w:name w:val="招标文件样式2"/>
    <w:basedOn w:val="1"/>
    <w:qFormat/>
    <w:uiPriority w:val="0"/>
    <w:pPr>
      <w:jc w:val="center"/>
      <w:outlineLvl w:val="0"/>
    </w:pPr>
    <w:rPr>
      <w:rFonts w:ascii="宋体" w:hAnsi="宋体"/>
      <w:b/>
      <w:sz w:val="28"/>
      <w:szCs w:val="28"/>
    </w:rPr>
  </w:style>
  <w:style w:type="character" w:customStyle="1" w:styleId="294">
    <w:name w:val="ant-select-tree-iconele"/>
    <w:qFormat/>
    <w:uiPriority w:val="0"/>
  </w:style>
  <w:style w:type="character" w:customStyle="1" w:styleId="295">
    <w:name w:val="current8"/>
    <w:qFormat/>
    <w:uiPriority w:val="0"/>
    <w:rPr>
      <w:rFonts w:ascii="Times New Roman" w:hAnsi="Times New Roman" w:eastAsia="宋体" w:cs="Times New Roman"/>
      <w:color w:val="FFFFFF"/>
      <w:shd w:val="clear" w:color="auto" w:fill="5BA0FF"/>
    </w:rPr>
  </w:style>
  <w:style w:type="character" w:customStyle="1" w:styleId="296">
    <w:name w:val="ca-12"/>
    <w:qFormat/>
    <w:uiPriority w:val="0"/>
    <w:rPr>
      <w:rFonts w:ascii="Times New Roman" w:hAnsi="Times New Roman" w:eastAsia="宋体" w:cs="Times New Roman"/>
      <w:kern w:val="2"/>
      <w:sz w:val="24"/>
      <w:szCs w:val="24"/>
      <w:lang w:val="en-US" w:eastAsia="zh-CN" w:bidi="ar-SA"/>
    </w:rPr>
  </w:style>
  <w:style w:type="paragraph" w:customStyle="1" w:styleId="297">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98">
    <w:name w:val="Char2"/>
    <w:basedOn w:val="19"/>
    <w:qFormat/>
    <w:uiPriority w:val="0"/>
    <w:rPr>
      <w:rFonts w:ascii="Tahoma" w:hAnsi="Tahoma" w:cs="Tahoma"/>
      <w:kern w:val="0"/>
      <w:sz w:val="18"/>
    </w:rPr>
  </w:style>
  <w:style w:type="character" w:customStyle="1" w:styleId="299">
    <w:name w:val="正文缩进 Char"/>
    <w:link w:val="10"/>
    <w:qFormat/>
    <w:uiPriority w:val="0"/>
    <w:rPr>
      <w:rFonts w:ascii="Times New Roman" w:hAnsi="Times New Roman" w:eastAsia="宋体" w:cs="Times New Roman"/>
      <w:kern w:val="2"/>
      <w:sz w:val="21"/>
      <w:lang w:val="en-US" w:eastAsia="zh-CN" w:bidi="ar-SA"/>
    </w:rPr>
  </w:style>
  <w:style w:type="character" w:customStyle="1" w:styleId="300">
    <w:name w:val="标题 4 Char"/>
    <w:link w:val="6"/>
    <w:qFormat/>
    <w:uiPriority w:val="0"/>
    <w:rPr>
      <w:rFonts w:ascii="Arial" w:hAnsi="Arial" w:eastAsia="黑体" w:cs="Times New Roman"/>
      <w:b/>
      <w:bCs/>
      <w:kern w:val="2"/>
      <w:sz w:val="28"/>
      <w:szCs w:val="28"/>
      <w:lang w:val="en-US" w:eastAsia="zh-CN" w:bidi="ar-SA"/>
    </w:rPr>
  </w:style>
  <w:style w:type="character" w:customStyle="1" w:styleId="301">
    <w:name w:val="zige"/>
    <w:qFormat/>
    <w:uiPriority w:val="0"/>
    <w:rPr>
      <w:rFonts w:ascii="Times New Roman" w:hAnsi="Times New Roman" w:eastAsia="宋体" w:cs="Times New Roman"/>
    </w:rPr>
  </w:style>
  <w:style w:type="character" w:customStyle="1" w:styleId="302">
    <w:name w:val="标题 2 Char"/>
    <w:qFormat/>
    <w:uiPriority w:val="0"/>
    <w:rPr>
      <w:rFonts w:ascii="Cambria" w:hAnsi="Cambria" w:eastAsia="宋体" w:cs="Times New Roman"/>
      <w:b/>
      <w:bCs/>
      <w:color w:val="4F81BD"/>
      <w:kern w:val="2"/>
      <w:sz w:val="26"/>
      <w:szCs w:val="26"/>
    </w:rPr>
  </w:style>
  <w:style w:type="character" w:customStyle="1" w:styleId="303">
    <w:name w:val="Char Char9"/>
    <w:qFormat/>
    <w:uiPriority w:val="0"/>
    <w:rPr>
      <w:rFonts w:ascii="Calibri" w:hAnsi="Calibri" w:eastAsia="宋体" w:cs="Times New Roman"/>
      <w:kern w:val="2"/>
      <w:sz w:val="18"/>
      <w:szCs w:val="18"/>
      <w:lang w:val="en-US" w:eastAsia="zh-CN" w:bidi="ar-SA"/>
    </w:rPr>
  </w:style>
  <w:style w:type="character" w:customStyle="1" w:styleId="304">
    <w:name w:val="icon_bj4"/>
    <w:qFormat/>
    <w:uiPriority w:val="0"/>
    <w:rPr>
      <w:rFonts w:ascii="Times New Roman" w:hAnsi="Times New Roman" w:eastAsia="宋体" w:cs="Times New Roman"/>
      <w:color w:val="FFFFFF"/>
      <w:sz w:val="18"/>
      <w:szCs w:val="18"/>
      <w:shd w:val="clear" w:color="auto" w:fill="4A90E2"/>
    </w:rPr>
  </w:style>
  <w:style w:type="character" w:customStyle="1" w:styleId="305">
    <w:name w:val="heighthight2"/>
    <w:qFormat/>
    <w:uiPriority w:val="0"/>
    <w:rPr>
      <w:rFonts w:ascii="Times New Roman" w:hAnsi="Times New Roman" w:eastAsia="宋体" w:cs="Times New Roman"/>
      <w:color w:val="FAAE14"/>
    </w:rPr>
  </w:style>
  <w:style w:type="character" w:customStyle="1" w:styleId="306">
    <w:name w:val="tuih9"/>
    <w:qFormat/>
    <w:uiPriority w:val="0"/>
    <w:rPr>
      <w:bdr w:val="single" w:color="000000" w:sz="6" w:space="0"/>
    </w:rPr>
  </w:style>
  <w:style w:type="character" w:customStyle="1" w:styleId="307">
    <w:name w:val="icon_bj7"/>
    <w:qFormat/>
    <w:uiPriority w:val="0"/>
    <w:rPr>
      <w:rFonts w:ascii="Times New Roman" w:hAnsi="Times New Roman" w:eastAsia="宋体" w:cs="Times New Roman"/>
      <w:color w:val="FFFFFF"/>
      <w:sz w:val="18"/>
      <w:szCs w:val="18"/>
      <w:shd w:val="clear" w:color="auto" w:fill="4A90E2"/>
    </w:rPr>
  </w:style>
  <w:style w:type="character" w:customStyle="1" w:styleId="308">
    <w:name w:val="star-info"/>
    <w:qFormat/>
    <w:uiPriority w:val="0"/>
    <w:rPr>
      <w:rFonts w:ascii="Times New Roman" w:hAnsi="Times New Roman" w:eastAsia="宋体" w:cs="Times New Roman"/>
      <w:color w:val="FD7B24"/>
      <w:sz w:val="24"/>
      <w:szCs w:val="24"/>
    </w:rPr>
  </w:style>
  <w:style w:type="character" w:customStyle="1" w:styleId="309">
    <w:name w:val="UserStyle_31"/>
    <w:qFormat/>
    <w:uiPriority w:val="0"/>
    <w:rPr>
      <w:kern w:val="2"/>
      <w:sz w:val="21"/>
      <w:szCs w:val="24"/>
      <w:lang w:val="en-US" w:eastAsia="zh-CN" w:bidi="ar-SA"/>
    </w:rPr>
  </w:style>
  <w:style w:type="character" w:customStyle="1" w:styleId="310">
    <w:name w:val="sl"/>
    <w:qFormat/>
    <w:uiPriority w:val="0"/>
    <w:rPr>
      <w:rFonts w:ascii="Times New Roman" w:hAnsi="Times New Roman" w:eastAsia="宋体" w:cs="Times New Roman"/>
      <w:sz w:val="18"/>
      <w:szCs w:val="18"/>
    </w:rPr>
  </w:style>
  <w:style w:type="character" w:customStyle="1" w:styleId="311">
    <w:name w:val="current2"/>
    <w:qFormat/>
    <w:uiPriority w:val="0"/>
    <w:rPr>
      <w:bdr w:val="single" w:color="000000" w:sz="6" w:space="0"/>
    </w:rPr>
  </w:style>
  <w:style w:type="paragraph" w:customStyle="1" w:styleId="312">
    <w:name w:val="Table Paragraph"/>
    <w:basedOn w:val="1"/>
    <w:qFormat/>
    <w:uiPriority w:val="1"/>
    <w:pPr>
      <w:jc w:val="left"/>
    </w:pPr>
    <w:rPr>
      <w:rFonts w:ascii="Calibri" w:hAnsi="Calibri"/>
      <w:kern w:val="0"/>
      <w:sz w:val="22"/>
      <w:szCs w:val="22"/>
      <w:lang w:eastAsia="en-US"/>
    </w:rPr>
  </w:style>
  <w:style w:type="character" w:customStyle="1" w:styleId="313">
    <w:name w:val="last-child7"/>
    <w:qFormat/>
    <w:uiPriority w:val="0"/>
  </w:style>
  <w:style w:type="paragraph" w:customStyle="1" w:styleId="314">
    <w:name w:val="p17"/>
    <w:basedOn w:val="1"/>
    <w:qFormat/>
    <w:uiPriority w:val="0"/>
    <w:pPr>
      <w:widowControl/>
    </w:pPr>
    <w:rPr>
      <w:rFonts w:ascii="宋体" w:hAnsi="宋体" w:cs="宋体"/>
      <w:kern w:val="0"/>
      <w:szCs w:val="21"/>
    </w:rPr>
  </w:style>
  <w:style w:type="paragraph" w:customStyle="1" w:styleId="315">
    <w:name w:val="列出段落11"/>
    <w:basedOn w:val="1"/>
    <w:qFormat/>
    <w:uiPriority w:val="0"/>
    <w:pPr>
      <w:ind w:firstLine="420" w:firstLineChars="200"/>
    </w:pPr>
    <w:rPr>
      <w:rFonts w:ascii="Calibri" w:hAnsi="Calibri"/>
      <w:szCs w:val="22"/>
    </w:rPr>
  </w:style>
  <w:style w:type="character" w:customStyle="1" w:styleId="316">
    <w:name w:val="font-gray"/>
    <w:qFormat/>
    <w:uiPriority w:val="0"/>
    <w:rPr>
      <w:rFonts w:ascii="Times New Roman" w:hAnsi="Times New Roman" w:eastAsia="宋体" w:cs="Times New Roman"/>
      <w:color w:val="777777"/>
      <w:sz w:val="21"/>
      <w:szCs w:val="21"/>
    </w:rPr>
  </w:style>
  <w:style w:type="character" w:customStyle="1" w:styleId="317">
    <w:name w:val="pagetitle"/>
    <w:qFormat/>
    <w:uiPriority w:val="0"/>
    <w:rPr>
      <w:rFonts w:ascii="Times New Roman" w:hAnsi="Times New Roman" w:eastAsia="宋体" w:cs="Times New Roman"/>
      <w:color w:val="24344E"/>
      <w:sz w:val="27"/>
      <w:szCs w:val="27"/>
    </w:rPr>
  </w:style>
  <w:style w:type="paragraph" w:customStyle="1" w:styleId="318">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kern w:val="0"/>
      <w:szCs w:val="21"/>
    </w:rPr>
  </w:style>
  <w:style w:type="paragraph" w:customStyle="1" w:styleId="31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320">
    <w:name w:val="label"/>
    <w:qFormat/>
    <w:uiPriority w:val="0"/>
  </w:style>
  <w:style w:type="character" w:customStyle="1" w:styleId="321">
    <w:name w:val="gotoset7"/>
    <w:qFormat/>
    <w:uiPriority w:val="0"/>
    <w:rPr>
      <w:rFonts w:ascii="Times New Roman" w:hAnsi="Times New Roman" w:eastAsia="宋体" w:cs="Times New Roman"/>
      <w:color w:val="999999"/>
    </w:rPr>
  </w:style>
  <w:style w:type="character" w:customStyle="1" w:styleId="322">
    <w:name w:val="ant-select-tree-checkbox2"/>
    <w:qFormat/>
    <w:uiPriority w:val="0"/>
  </w:style>
  <w:style w:type="character" w:customStyle="1" w:styleId="323">
    <w:name w:val="icon_bj2"/>
    <w:qFormat/>
    <w:uiPriority w:val="0"/>
    <w:rPr>
      <w:rFonts w:ascii="Times New Roman" w:hAnsi="Times New Roman" w:eastAsia="宋体" w:cs="Times New Roman"/>
      <w:color w:val="FFFFFF"/>
      <w:sz w:val="18"/>
      <w:szCs w:val="18"/>
      <w:shd w:val="clear" w:color="auto" w:fill="4A90E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8851</Words>
  <Characters>9519</Characters>
  <Lines>308</Lines>
  <Paragraphs>86</Paragraphs>
  <TotalTime>32</TotalTime>
  <ScaleCrop>false</ScaleCrop>
  <LinksUpToDate>false</LinksUpToDate>
  <CharactersWithSpaces>9637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2025-09-17T02:34:00Z</dcterms:created>
  <dc:creator>admin</dc:creator>
  <cp:lastModifiedBy>Tss</cp:lastModifiedBy>
  <cp:lastPrinted>2025-11-10T07:43:00Z</cp:lastPrinted>
  <dcterms:modified xsi:type="dcterms:W3CDTF">2025-12-09T09:09:54Z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eyJoZGlkIjoiZjM1ZDk5YzUzMDQwZDY3NmU4YjQ1N2NjYTA0MThlNzgifQ==</vt:lpwstr>
  </property>
  <property fmtid="{D5CDD505-2E9C-101B-9397-08002B2CF9AE}" pid="3" name="KSOProductBuildVer">
    <vt:lpwstr>2052-12.1.0.24034</vt:lpwstr>
  </property>
  <property fmtid="{D5CDD505-2E9C-101B-9397-08002B2CF9AE}" pid="4" name="ICV">
    <vt:lpwstr>2AD55BD709D543778D48030A5ED6A4A3_13</vt:lpwstr>
  </property>
</Properties>
</file>